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BAA64">
      <w:pPr>
        <w:bidi w:val="0"/>
        <w:rPr>
          <w:rFonts w:hint="eastAsia" w:ascii="仿宋" w:hAnsi="仿宋" w:eastAsia="仿宋" w:cs="仿宋"/>
          <w:lang w:eastAsia="zh-CN"/>
        </w:rPr>
      </w:pPr>
      <w:bookmarkStart w:id="0" w:name="_Toc30744"/>
      <w:bookmarkStart w:id="1" w:name="_Toc21525"/>
    </w:p>
    <w:p w14:paraId="12554CCC">
      <w:pPr>
        <w:pStyle w:val="14"/>
        <w:ind w:left="0" w:leftChars="0" w:firstLine="0" w:firstLineChars="0"/>
        <w:rPr>
          <w:rFonts w:hint="eastAsia" w:ascii="仿宋" w:hAnsi="仿宋" w:eastAsia="仿宋" w:cs="仿宋"/>
          <w:lang w:eastAsia="zh-CN"/>
        </w:rPr>
      </w:pPr>
    </w:p>
    <w:p w14:paraId="7DD5E69C">
      <w:pPr>
        <w:pStyle w:val="8"/>
        <w:ind w:left="0" w:leftChars="0" w:firstLine="0" w:firstLineChars="0"/>
        <w:outlineLvl w:val="9"/>
        <w:rPr>
          <w:rFonts w:hint="eastAsia" w:ascii="仿宋" w:hAnsi="仿宋" w:eastAsia="仿宋" w:cs="仿宋"/>
          <w:lang w:eastAsia="zh-CN"/>
        </w:rPr>
      </w:pPr>
    </w:p>
    <w:p w14:paraId="106B7D74">
      <w:pPr>
        <w:pStyle w:val="8"/>
        <w:outlineLvl w:val="9"/>
        <w:rPr>
          <w:rFonts w:hint="eastAsia" w:ascii="仿宋" w:hAnsi="仿宋" w:eastAsia="仿宋" w:cs="仿宋"/>
          <w:lang w:eastAsia="zh-CN"/>
        </w:rPr>
      </w:pPr>
    </w:p>
    <w:p w14:paraId="3450020B">
      <w:pPr>
        <w:pStyle w:val="8"/>
        <w:outlineLvl w:val="9"/>
        <w:rPr>
          <w:rFonts w:hint="eastAsia" w:ascii="仿宋" w:hAnsi="仿宋" w:eastAsia="仿宋" w:cs="仿宋"/>
          <w:lang w:eastAsia="zh-CN"/>
        </w:rPr>
      </w:pPr>
    </w:p>
    <w:p w14:paraId="78B757DC">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浦江网联试验室</w:t>
      </w:r>
    </w:p>
    <w:p w14:paraId="03507386">
      <w:pPr>
        <w:spacing w:line="360" w:lineRule="auto"/>
        <w:jc w:val="center"/>
        <w:outlineLvl w:val="9"/>
        <w:rPr>
          <w:rFonts w:hint="default"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智能化提升项目（三期）</w:t>
      </w:r>
    </w:p>
    <w:p w14:paraId="5C54B49B">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建设方案</w:t>
      </w:r>
    </w:p>
    <w:p w14:paraId="5EAA205B">
      <w:pPr>
        <w:bidi w:val="0"/>
        <w:outlineLvl w:val="9"/>
        <w:rPr>
          <w:rFonts w:hint="eastAsia" w:ascii="黑体" w:hAnsi="黑体" w:eastAsia="黑体" w:cs="黑体"/>
          <w:lang w:eastAsia="zh-CN"/>
        </w:rPr>
      </w:pPr>
    </w:p>
    <w:p w14:paraId="7E6A7042">
      <w:pPr>
        <w:bidi w:val="0"/>
        <w:outlineLvl w:val="9"/>
        <w:rPr>
          <w:rFonts w:hint="eastAsia" w:ascii="黑体" w:hAnsi="黑体" w:eastAsia="黑体" w:cs="黑体"/>
          <w:lang w:eastAsia="zh-CN"/>
        </w:rPr>
      </w:pPr>
    </w:p>
    <w:p w14:paraId="51EED85C">
      <w:pPr>
        <w:pStyle w:val="14"/>
        <w:outlineLvl w:val="9"/>
        <w:rPr>
          <w:rFonts w:hint="eastAsia" w:ascii="黑体" w:hAnsi="黑体" w:eastAsia="黑体" w:cs="黑体"/>
          <w:b/>
          <w:sz w:val="52"/>
          <w:szCs w:val="52"/>
          <w:lang w:eastAsia="zh-CN"/>
        </w:rPr>
      </w:pPr>
    </w:p>
    <w:p w14:paraId="173491C3">
      <w:pPr>
        <w:pStyle w:val="8"/>
        <w:outlineLvl w:val="9"/>
        <w:rPr>
          <w:rFonts w:hint="eastAsia" w:ascii="黑体" w:hAnsi="黑体" w:eastAsia="黑体" w:cs="黑体"/>
          <w:b/>
          <w:sz w:val="52"/>
          <w:szCs w:val="52"/>
          <w:lang w:eastAsia="zh-CN"/>
        </w:rPr>
      </w:pPr>
    </w:p>
    <w:p w14:paraId="74159DDF">
      <w:pPr>
        <w:pStyle w:val="8"/>
        <w:outlineLvl w:val="9"/>
        <w:rPr>
          <w:rFonts w:hint="eastAsia" w:ascii="黑体" w:hAnsi="黑体" w:eastAsia="黑体" w:cs="黑体"/>
          <w:b/>
          <w:sz w:val="52"/>
          <w:szCs w:val="52"/>
          <w:lang w:eastAsia="zh-CN"/>
        </w:rPr>
      </w:pPr>
    </w:p>
    <w:p w14:paraId="4D4907AB">
      <w:pPr>
        <w:pStyle w:val="8"/>
        <w:outlineLvl w:val="9"/>
        <w:rPr>
          <w:rFonts w:hint="eastAsia" w:ascii="黑体" w:hAnsi="黑体" w:eastAsia="黑体" w:cs="黑体"/>
          <w:b/>
          <w:sz w:val="52"/>
          <w:szCs w:val="52"/>
          <w:lang w:eastAsia="zh-CN"/>
        </w:rPr>
      </w:pPr>
    </w:p>
    <w:p w14:paraId="45E6AD8C">
      <w:pPr>
        <w:pStyle w:val="8"/>
        <w:outlineLvl w:val="9"/>
        <w:rPr>
          <w:rFonts w:hint="eastAsia" w:ascii="黑体" w:hAnsi="黑体" w:eastAsia="黑体" w:cs="黑体"/>
          <w:b/>
          <w:sz w:val="52"/>
          <w:szCs w:val="52"/>
          <w:lang w:eastAsia="zh-CN"/>
        </w:rPr>
      </w:pPr>
    </w:p>
    <w:p w14:paraId="43873E80">
      <w:pPr>
        <w:pStyle w:val="8"/>
        <w:ind w:left="0" w:leftChars="0" w:firstLine="0" w:firstLineChars="0"/>
        <w:outlineLvl w:val="9"/>
        <w:rPr>
          <w:rFonts w:hint="eastAsia" w:ascii="黑体" w:hAnsi="黑体" w:eastAsia="黑体" w:cs="黑体"/>
          <w:b/>
          <w:sz w:val="52"/>
          <w:szCs w:val="52"/>
          <w:lang w:eastAsia="zh-CN"/>
        </w:rPr>
      </w:pPr>
    </w:p>
    <w:p w14:paraId="6F7FA06C">
      <w:pPr>
        <w:pStyle w:val="8"/>
        <w:outlineLvl w:val="9"/>
        <w:rPr>
          <w:rFonts w:hint="eastAsia" w:ascii="黑体" w:hAnsi="黑体" w:eastAsia="黑体" w:cs="黑体"/>
          <w:b/>
          <w:sz w:val="52"/>
          <w:szCs w:val="52"/>
          <w:lang w:eastAsia="zh-CN"/>
        </w:rPr>
      </w:pPr>
    </w:p>
    <w:p w14:paraId="66EF2AAA">
      <w:pPr>
        <w:pStyle w:val="8"/>
        <w:outlineLvl w:val="9"/>
        <w:rPr>
          <w:rFonts w:hint="eastAsia" w:ascii="黑体" w:hAnsi="黑体" w:eastAsia="黑体" w:cs="黑体"/>
          <w:b/>
          <w:sz w:val="52"/>
          <w:szCs w:val="52"/>
          <w:lang w:eastAsia="zh-CN"/>
        </w:rPr>
      </w:pPr>
    </w:p>
    <w:p w14:paraId="344B8B96">
      <w:pPr>
        <w:keepNext w:val="0"/>
        <w:keepLines w:val="0"/>
        <w:pageBreakBefore w:val="0"/>
        <w:widowControl/>
        <w:kinsoku w:val="0"/>
        <w:wordWrap/>
        <w:overflowPunct/>
        <w:topLinePunct w:val="0"/>
        <w:autoSpaceDE w:val="0"/>
        <w:autoSpaceDN w:val="0"/>
        <w:bidi w:val="0"/>
        <w:adjustRightInd w:val="0"/>
        <w:snapToGrid w:val="0"/>
        <w:spacing w:before="58" w:line="480" w:lineRule="auto"/>
        <w:jc w:val="center"/>
        <w:textAlignment w:val="baseline"/>
        <w:outlineLvl w:val="9"/>
        <w:rPr>
          <w:rFonts w:hint="eastAsia" w:ascii="黑体" w:hAnsi="黑体" w:eastAsia="黑体" w:cs="黑体"/>
          <w:b w:val="0"/>
          <w:bCs/>
          <w:sz w:val="36"/>
          <w:szCs w:val="36"/>
        </w:rPr>
      </w:pPr>
      <w:r>
        <w:rPr>
          <w:rFonts w:hint="eastAsia" w:ascii="黑体" w:hAnsi="黑体" w:eastAsia="黑体" w:cs="黑体"/>
          <w:b w:val="0"/>
          <w:bCs/>
          <w:sz w:val="36"/>
          <w:szCs w:val="36"/>
          <w:lang w:val="en-US" w:eastAsia="zh-CN"/>
        </w:rPr>
        <w:t>江苏</w:t>
      </w:r>
      <w:r>
        <w:rPr>
          <w:rFonts w:hint="eastAsia" w:ascii="黑体" w:hAnsi="黑体" w:eastAsia="黑体" w:cs="黑体"/>
          <w:b w:val="0"/>
          <w:bCs/>
          <w:sz w:val="36"/>
          <w:szCs w:val="36"/>
        </w:rPr>
        <w:t>正方交通科技有限公司</w:t>
      </w:r>
    </w:p>
    <w:p w14:paraId="1D567C8C">
      <w:pPr>
        <w:keepNext w:val="0"/>
        <w:keepLines w:val="0"/>
        <w:pageBreakBefore w:val="0"/>
        <w:widowControl/>
        <w:kinsoku w:val="0"/>
        <w:wordWrap/>
        <w:overflowPunct/>
        <w:topLinePunct w:val="0"/>
        <w:autoSpaceDE w:val="0"/>
        <w:autoSpaceDN w:val="0"/>
        <w:bidi w:val="0"/>
        <w:adjustRightInd w:val="0"/>
        <w:snapToGrid w:val="0"/>
        <w:spacing w:line="480" w:lineRule="auto"/>
        <w:jc w:val="center"/>
        <w:textAlignment w:val="baseline"/>
        <w:outlineLvl w:val="9"/>
        <w:rPr>
          <w:rFonts w:hint="default" w:ascii="黑体" w:hAnsi="黑体" w:eastAsia="黑体" w:cs="黑体"/>
          <w:b w:val="0"/>
          <w:bCs/>
          <w:kern w:val="2"/>
          <w:sz w:val="36"/>
          <w:szCs w:val="36"/>
          <w:lang w:val="en-US" w:eastAsia="zh-CN" w:bidi="ar-SA"/>
        </w:rPr>
        <w:sectPr>
          <w:headerReference r:id="rId3" w:type="default"/>
          <w:pgSz w:w="11906" w:h="16838"/>
          <w:pgMar w:top="1440" w:right="1800" w:bottom="1440" w:left="1800" w:header="567"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黑体" w:hAnsi="黑体" w:eastAsia="黑体" w:cs="黑体"/>
          <w:b w:val="0"/>
          <w:bCs/>
          <w:kern w:val="2"/>
          <w:sz w:val="36"/>
          <w:szCs w:val="36"/>
          <w:lang w:val="en-US" w:eastAsia="zh-CN" w:bidi="ar-SA"/>
        </w:rPr>
        <w:t>2026年09</w:t>
      </w:r>
    </w:p>
    <w:bookmarkEnd w:id="0"/>
    <w:bookmarkEnd w:id="1"/>
    <w:sdt>
      <w:sdtPr>
        <w:rPr>
          <w:rFonts w:ascii="宋体" w:hAnsi="宋体" w:eastAsia="宋体"/>
          <w:sz w:val="21"/>
          <w:szCs w:val="22"/>
        </w:rPr>
        <w:id w:val="591240115"/>
        <w15:color w:val="DBDBDB"/>
        <w:docPartObj>
          <w:docPartGallery w:val="Table of Contents"/>
          <w:docPartUnique/>
        </w:docPartObj>
      </w:sdtPr>
      <w:sdtEndPr>
        <w:rPr>
          <w:rFonts w:ascii="宋体" w:hAnsi="宋体" w:eastAsia="宋体"/>
          <w:sz w:val="21"/>
          <w:szCs w:val="22"/>
        </w:rPr>
      </w:sdtEndPr>
      <w:sdtContent>
        <w:p w14:paraId="682BBA18">
          <w:pPr>
            <w:spacing w:before="0" w:beforeLines="0" w:after="0" w:afterLines="0" w:line="240" w:lineRule="auto"/>
            <w:ind w:left="0" w:leftChars="0" w:right="0" w:rightChars="0" w:firstLine="0" w:firstLineChars="0"/>
            <w:jc w:val="center"/>
          </w:pPr>
          <w:bookmarkStart w:id="2" w:name="heading_0"/>
          <w:r>
            <w:rPr>
              <w:rFonts w:ascii="宋体" w:hAnsi="宋体" w:eastAsia="宋体"/>
              <w:sz w:val="21"/>
            </w:rPr>
            <w:t>目录</w:t>
          </w:r>
        </w:p>
        <w:p w14:paraId="4FECCA33">
          <w:pPr>
            <w:pStyle w:val="11"/>
            <w:tabs>
              <w:tab w:val="right" w:leader="dot" w:pos="8305"/>
            </w:tabs>
          </w:pPr>
          <w:r>
            <w:fldChar w:fldCharType="begin"/>
          </w:r>
          <w:r>
            <w:instrText xml:space="preserve">TOC \o "1-3" \h \u </w:instrText>
          </w:r>
          <w:r>
            <w:fldChar w:fldCharType="separate"/>
          </w:r>
          <w:r>
            <w:fldChar w:fldCharType="begin"/>
          </w:r>
          <w:r>
            <w:instrText xml:space="preserve"> HYPERLINK \l _Toc2083037726 </w:instrText>
          </w:r>
          <w:r>
            <w:fldChar w:fldCharType="separate"/>
          </w:r>
          <w:r>
            <w:rPr>
              <w:rFonts w:hint="eastAsia" w:ascii="宋体" w:hAnsi="宋体" w:eastAsia="宋体" w:cs="宋体"/>
              <w:snapToGrid w:val="0"/>
              <w:szCs w:val="28"/>
              <w:lang w:val="en-US" w:eastAsia="zh-CN" w:bidi="ar-SA"/>
            </w:rPr>
            <w:t>一、项目概述</w:t>
          </w:r>
          <w:r>
            <w:tab/>
          </w:r>
          <w:r>
            <w:fldChar w:fldCharType="begin"/>
          </w:r>
          <w:r>
            <w:instrText xml:space="preserve"> PAGEREF _Toc2083037726 \h </w:instrText>
          </w:r>
          <w:r>
            <w:fldChar w:fldCharType="separate"/>
          </w:r>
          <w:r>
            <w:t>3</w:t>
          </w:r>
          <w:r>
            <w:fldChar w:fldCharType="end"/>
          </w:r>
          <w:r>
            <w:fldChar w:fldCharType="end"/>
          </w:r>
        </w:p>
        <w:p w14:paraId="49F5C62B">
          <w:pPr>
            <w:pStyle w:val="12"/>
            <w:tabs>
              <w:tab w:val="right" w:leader="dot" w:pos="8305"/>
            </w:tabs>
          </w:pPr>
          <w:r>
            <w:fldChar w:fldCharType="begin"/>
          </w:r>
          <w:r>
            <w:instrText xml:space="preserve"> HYPERLINK \l _Toc1336647488 </w:instrText>
          </w:r>
          <w:r>
            <w:fldChar w:fldCharType="separate"/>
          </w:r>
          <w:r>
            <w:rPr>
              <w:rFonts w:hint="eastAsia" w:ascii="宋体" w:hAnsi="宋体" w:eastAsia="宋体" w:cs="宋体"/>
              <w:snapToGrid w:val="0"/>
              <w:szCs w:val="28"/>
              <w:lang w:val="en-US" w:eastAsia="en-US" w:bidi="ar-SA"/>
            </w:rPr>
            <w:t>1.1 项目背景</w:t>
          </w:r>
          <w:r>
            <w:tab/>
          </w:r>
          <w:r>
            <w:fldChar w:fldCharType="begin"/>
          </w:r>
          <w:r>
            <w:instrText xml:space="preserve"> PAGEREF _Toc1336647488 \h </w:instrText>
          </w:r>
          <w:r>
            <w:fldChar w:fldCharType="separate"/>
          </w:r>
          <w:r>
            <w:t>3</w:t>
          </w:r>
          <w:r>
            <w:fldChar w:fldCharType="end"/>
          </w:r>
          <w:r>
            <w:fldChar w:fldCharType="end"/>
          </w:r>
        </w:p>
        <w:p w14:paraId="6BB4F6AC">
          <w:pPr>
            <w:pStyle w:val="12"/>
            <w:tabs>
              <w:tab w:val="right" w:leader="dot" w:pos="8305"/>
            </w:tabs>
          </w:pPr>
          <w:r>
            <w:fldChar w:fldCharType="begin"/>
          </w:r>
          <w:r>
            <w:instrText xml:space="preserve"> HYPERLINK \l _Toc207899549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2</w:t>
          </w:r>
          <w:r>
            <w:rPr>
              <w:rFonts w:hint="eastAsia" w:ascii="宋体" w:hAnsi="宋体" w:eastAsia="宋体" w:cs="宋体"/>
              <w:snapToGrid w:val="0"/>
              <w:szCs w:val="28"/>
              <w:lang w:val="en-US" w:eastAsia="en-US" w:bidi="ar-SA"/>
            </w:rPr>
            <w:t xml:space="preserve"> 项目</w:t>
          </w:r>
          <w:r>
            <w:rPr>
              <w:rFonts w:hint="eastAsia" w:ascii="宋体" w:hAnsi="宋体" w:cs="宋体"/>
              <w:snapToGrid w:val="0"/>
              <w:szCs w:val="28"/>
              <w:lang w:val="en-US" w:eastAsia="zh-CN" w:bidi="ar-SA"/>
            </w:rPr>
            <w:t>现状</w:t>
          </w:r>
          <w:r>
            <w:tab/>
          </w:r>
          <w:r>
            <w:fldChar w:fldCharType="begin"/>
          </w:r>
          <w:r>
            <w:instrText xml:space="preserve"> PAGEREF _Toc207899549 \h </w:instrText>
          </w:r>
          <w:r>
            <w:fldChar w:fldCharType="separate"/>
          </w:r>
          <w:r>
            <w:t>3</w:t>
          </w:r>
          <w:r>
            <w:fldChar w:fldCharType="end"/>
          </w:r>
          <w:r>
            <w:fldChar w:fldCharType="end"/>
          </w:r>
        </w:p>
        <w:p w14:paraId="1AC9388A">
          <w:pPr>
            <w:pStyle w:val="12"/>
            <w:tabs>
              <w:tab w:val="right" w:leader="dot" w:pos="8305"/>
            </w:tabs>
          </w:pPr>
          <w:r>
            <w:fldChar w:fldCharType="begin"/>
          </w:r>
          <w:r>
            <w:instrText xml:space="preserve"> HYPERLINK \l _Toc211826374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3</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项目目标与成果</w:t>
          </w:r>
          <w:r>
            <w:tab/>
          </w:r>
          <w:r>
            <w:fldChar w:fldCharType="begin"/>
          </w:r>
          <w:r>
            <w:instrText xml:space="preserve"> PAGEREF _Toc211826374 \h </w:instrText>
          </w:r>
          <w:r>
            <w:fldChar w:fldCharType="separate"/>
          </w:r>
          <w:r>
            <w:t>4</w:t>
          </w:r>
          <w:r>
            <w:fldChar w:fldCharType="end"/>
          </w:r>
          <w:r>
            <w:fldChar w:fldCharType="end"/>
          </w:r>
        </w:p>
        <w:p w14:paraId="4F84654B">
          <w:pPr>
            <w:pStyle w:val="7"/>
            <w:tabs>
              <w:tab w:val="right" w:leader="dot" w:pos="8305"/>
            </w:tabs>
          </w:pPr>
          <w:r>
            <w:fldChar w:fldCharType="begin"/>
          </w:r>
          <w:r>
            <w:instrText xml:space="preserve"> HYPERLINK \l _Toc1785464739 </w:instrText>
          </w:r>
          <w:r>
            <w:fldChar w:fldCharType="separate"/>
          </w:r>
          <w:r>
            <w:rPr>
              <w:rFonts w:hint="eastAsia" w:ascii="宋体" w:hAnsi="宋体" w:cs="宋体"/>
              <w:snapToGrid w:val="0"/>
              <w:szCs w:val="24"/>
              <w:lang w:val="en-US" w:eastAsia="zh-CN" w:bidi="ar-SA"/>
            </w:rPr>
            <w:t>1.3.1建设目标</w:t>
          </w:r>
          <w:r>
            <w:tab/>
          </w:r>
          <w:r>
            <w:fldChar w:fldCharType="begin"/>
          </w:r>
          <w:r>
            <w:instrText xml:space="preserve"> PAGEREF _Toc1785464739 \h </w:instrText>
          </w:r>
          <w:r>
            <w:fldChar w:fldCharType="separate"/>
          </w:r>
          <w:r>
            <w:t>4</w:t>
          </w:r>
          <w:r>
            <w:fldChar w:fldCharType="end"/>
          </w:r>
          <w:r>
            <w:fldChar w:fldCharType="end"/>
          </w:r>
        </w:p>
        <w:p w14:paraId="0A925ED5">
          <w:pPr>
            <w:pStyle w:val="7"/>
            <w:tabs>
              <w:tab w:val="right" w:leader="dot" w:pos="8305"/>
            </w:tabs>
          </w:pPr>
          <w:r>
            <w:fldChar w:fldCharType="begin"/>
          </w:r>
          <w:r>
            <w:instrText xml:space="preserve"> HYPERLINK \l _Toc1516868842 </w:instrText>
          </w:r>
          <w:r>
            <w:fldChar w:fldCharType="separate"/>
          </w:r>
          <w:r>
            <w:rPr>
              <w:rFonts w:hint="eastAsia" w:ascii="宋体" w:hAnsi="宋体" w:cs="宋体"/>
              <w:snapToGrid w:val="0"/>
              <w:szCs w:val="24"/>
              <w:lang w:val="en-US" w:eastAsia="zh-CN" w:bidi="ar-SA"/>
            </w:rPr>
            <w:t>1.3.2建设成果</w:t>
          </w:r>
          <w:r>
            <w:tab/>
          </w:r>
          <w:r>
            <w:fldChar w:fldCharType="begin"/>
          </w:r>
          <w:r>
            <w:instrText xml:space="preserve"> PAGEREF _Toc1516868842 \h </w:instrText>
          </w:r>
          <w:r>
            <w:fldChar w:fldCharType="separate"/>
          </w:r>
          <w:r>
            <w:t>5</w:t>
          </w:r>
          <w:r>
            <w:fldChar w:fldCharType="end"/>
          </w:r>
          <w:r>
            <w:fldChar w:fldCharType="end"/>
          </w:r>
        </w:p>
        <w:p w14:paraId="7A4CA4E6">
          <w:pPr>
            <w:pStyle w:val="11"/>
            <w:tabs>
              <w:tab w:val="right" w:leader="dot" w:pos="8305"/>
            </w:tabs>
          </w:pPr>
          <w:r>
            <w:fldChar w:fldCharType="begin"/>
          </w:r>
          <w:r>
            <w:instrText xml:space="preserve"> HYPERLINK \l _Toc1236253957 </w:instrText>
          </w:r>
          <w:r>
            <w:fldChar w:fldCharType="separate"/>
          </w:r>
          <w:r>
            <w:rPr>
              <w:rFonts w:hint="eastAsia" w:ascii="宋体" w:hAnsi="宋体" w:cs="宋体"/>
              <w:snapToGrid w:val="0"/>
              <w:szCs w:val="28"/>
              <w:highlight w:val="none"/>
              <w:lang w:val="en-US" w:eastAsia="zh-CN" w:bidi="ar-SA"/>
            </w:rPr>
            <w:t>二</w:t>
          </w:r>
          <w:r>
            <w:rPr>
              <w:rFonts w:hint="eastAsia" w:ascii="宋体" w:hAnsi="宋体" w:eastAsia="宋体" w:cs="宋体"/>
              <w:snapToGrid w:val="0"/>
              <w:szCs w:val="28"/>
              <w:highlight w:val="none"/>
              <w:lang w:val="en-US" w:eastAsia="zh-CN" w:bidi="ar-SA"/>
            </w:rPr>
            <w:t>、</w:t>
          </w:r>
          <w:r>
            <w:rPr>
              <w:rFonts w:hint="eastAsia" w:ascii="宋体" w:hAnsi="宋体" w:cs="宋体"/>
              <w:snapToGrid w:val="0"/>
              <w:szCs w:val="28"/>
              <w:highlight w:val="none"/>
              <w:lang w:val="en-US" w:eastAsia="zh-CN" w:bidi="ar-SA"/>
            </w:rPr>
            <w:t>总体架构</w:t>
          </w:r>
          <w:r>
            <w:tab/>
          </w:r>
          <w:r>
            <w:fldChar w:fldCharType="begin"/>
          </w:r>
          <w:r>
            <w:instrText xml:space="preserve"> PAGEREF _Toc1236253957 \h </w:instrText>
          </w:r>
          <w:r>
            <w:fldChar w:fldCharType="separate"/>
          </w:r>
          <w:r>
            <w:t>6</w:t>
          </w:r>
          <w:r>
            <w:fldChar w:fldCharType="end"/>
          </w:r>
          <w:r>
            <w:fldChar w:fldCharType="end"/>
          </w:r>
        </w:p>
        <w:p w14:paraId="71F27357">
          <w:pPr>
            <w:pStyle w:val="12"/>
            <w:tabs>
              <w:tab w:val="right" w:leader="dot" w:pos="8305"/>
            </w:tabs>
          </w:pPr>
          <w:r>
            <w:fldChar w:fldCharType="begin"/>
          </w:r>
          <w:r>
            <w:instrText xml:space="preserve"> HYPERLINK \l _Toc815970574 </w:instrText>
          </w:r>
          <w:r>
            <w:fldChar w:fldCharType="separate"/>
          </w:r>
          <w:r>
            <w:rPr>
              <w:rFonts w:hint="eastAsia" w:ascii="宋体" w:hAnsi="宋体" w:cs="宋体"/>
              <w:snapToGrid w:val="0"/>
              <w:szCs w:val="28"/>
              <w:lang w:val="en-US" w:eastAsia="zh-CN" w:bidi="ar-SA"/>
            </w:rPr>
            <w:t>2.1</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业务架构</w:t>
          </w:r>
          <w:r>
            <w:tab/>
          </w:r>
          <w:r>
            <w:fldChar w:fldCharType="begin"/>
          </w:r>
          <w:r>
            <w:instrText xml:space="preserve"> PAGEREF _Toc815970574 \h </w:instrText>
          </w:r>
          <w:r>
            <w:fldChar w:fldCharType="separate"/>
          </w:r>
          <w:r>
            <w:t>6</w:t>
          </w:r>
          <w:r>
            <w:fldChar w:fldCharType="end"/>
          </w:r>
          <w:r>
            <w:fldChar w:fldCharType="end"/>
          </w:r>
        </w:p>
        <w:p w14:paraId="75D4E0A4">
          <w:pPr>
            <w:pStyle w:val="12"/>
            <w:tabs>
              <w:tab w:val="right" w:leader="dot" w:pos="8305"/>
            </w:tabs>
          </w:pPr>
          <w:r>
            <w:fldChar w:fldCharType="begin"/>
          </w:r>
          <w:r>
            <w:instrText xml:space="preserve"> HYPERLINK \l _Toc186867476 </w:instrText>
          </w:r>
          <w:r>
            <w:fldChar w:fldCharType="separate"/>
          </w:r>
          <w:r>
            <w:rPr>
              <w:rFonts w:hint="eastAsia" w:ascii="宋体" w:hAnsi="宋体" w:cs="宋体"/>
              <w:snapToGrid w:val="0"/>
              <w:szCs w:val="28"/>
              <w:lang w:val="en-US" w:eastAsia="zh-CN" w:bidi="ar-SA"/>
            </w:rPr>
            <w:t>2.2</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技术架构</w:t>
          </w:r>
          <w:r>
            <w:tab/>
          </w:r>
          <w:r>
            <w:fldChar w:fldCharType="begin"/>
          </w:r>
          <w:r>
            <w:instrText xml:space="preserve"> PAGEREF _Toc186867476 \h </w:instrText>
          </w:r>
          <w:r>
            <w:fldChar w:fldCharType="separate"/>
          </w:r>
          <w:r>
            <w:t>6</w:t>
          </w:r>
          <w:r>
            <w:fldChar w:fldCharType="end"/>
          </w:r>
          <w:r>
            <w:fldChar w:fldCharType="end"/>
          </w:r>
        </w:p>
        <w:p w14:paraId="0FC9B93A">
          <w:pPr>
            <w:pStyle w:val="11"/>
            <w:tabs>
              <w:tab w:val="right" w:leader="dot" w:pos="8305"/>
            </w:tabs>
          </w:pPr>
          <w:r>
            <w:fldChar w:fldCharType="begin"/>
          </w:r>
          <w:r>
            <w:instrText xml:space="preserve"> HYPERLINK \l _Toc1060577218 </w:instrText>
          </w:r>
          <w:r>
            <w:fldChar w:fldCharType="separate"/>
          </w:r>
          <w:r>
            <w:rPr>
              <w:rFonts w:hint="eastAsia" w:ascii="宋体" w:hAnsi="宋体" w:cs="宋体"/>
              <w:snapToGrid w:val="0"/>
              <w:szCs w:val="28"/>
              <w:lang w:val="en-US" w:eastAsia="zh-CN" w:bidi="ar-SA"/>
            </w:rPr>
            <w:t>三</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建设内容</w:t>
          </w:r>
          <w:r>
            <w:tab/>
          </w:r>
          <w:r>
            <w:fldChar w:fldCharType="begin"/>
          </w:r>
          <w:r>
            <w:instrText xml:space="preserve"> PAGEREF _Toc1060577218 \h </w:instrText>
          </w:r>
          <w:r>
            <w:fldChar w:fldCharType="separate"/>
          </w:r>
          <w:r>
            <w:t>8</w:t>
          </w:r>
          <w:r>
            <w:fldChar w:fldCharType="end"/>
          </w:r>
          <w:r>
            <w:fldChar w:fldCharType="end"/>
          </w:r>
        </w:p>
        <w:p w14:paraId="041BEBC1">
          <w:pPr>
            <w:pStyle w:val="12"/>
            <w:tabs>
              <w:tab w:val="right" w:leader="dot" w:pos="8305"/>
            </w:tabs>
          </w:pPr>
          <w:r>
            <w:fldChar w:fldCharType="begin"/>
          </w:r>
          <w:r>
            <w:instrText xml:space="preserve"> HYPERLINK \l _Toc1007032826 </w:instrText>
          </w:r>
          <w:r>
            <w:fldChar w:fldCharType="separate"/>
          </w:r>
          <w:r>
            <w:rPr>
              <w:rFonts w:hint="eastAsia" w:ascii="宋体" w:hAnsi="宋体" w:cs="宋体"/>
              <w:snapToGrid w:val="0"/>
              <w:szCs w:val="28"/>
              <w:lang w:val="en-US" w:eastAsia="zh-CN" w:bidi="ar-SA"/>
            </w:rPr>
            <w:t>3.1</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试验室智能化建设</w:t>
          </w:r>
          <w:r>
            <w:tab/>
          </w:r>
          <w:r>
            <w:fldChar w:fldCharType="begin"/>
          </w:r>
          <w:r>
            <w:instrText xml:space="preserve"> PAGEREF _Toc1007032826 \h </w:instrText>
          </w:r>
          <w:r>
            <w:fldChar w:fldCharType="separate"/>
          </w:r>
          <w:r>
            <w:t>8</w:t>
          </w:r>
          <w:r>
            <w:fldChar w:fldCharType="end"/>
          </w:r>
          <w:r>
            <w:fldChar w:fldCharType="end"/>
          </w:r>
        </w:p>
        <w:p w14:paraId="3D6D1969">
          <w:pPr>
            <w:pStyle w:val="7"/>
            <w:tabs>
              <w:tab w:val="right" w:leader="dot" w:pos="8305"/>
            </w:tabs>
          </w:pPr>
          <w:r>
            <w:fldChar w:fldCharType="begin"/>
          </w:r>
          <w:r>
            <w:instrText xml:space="preserve"> HYPERLINK \l _Toc882084575 </w:instrText>
          </w:r>
          <w:r>
            <w:fldChar w:fldCharType="separate"/>
          </w:r>
          <w:r>
            <w:rPr>
              <w:rFonts w:hint="eastAsia" w:ascii="宋体" w:hAnsi="宋体" w:cs="宋体"/>
              <w:snapToGrid w:val="0"/>
              <w:szCs w:val="24"/>
              <w:lang w:val="en-US" w:eastAsia="zh-CN" w:bidi="ar-SA"/>
            </w:rPr>
            <w:t>3.1.1项目智拓——构建项目获取与业务承接智能协同体系</w:t>
          </w:r>
          <w:r>
            <w:tab/>
          </w:r>
          <w:r>
            <w:fldChar w:fldCharType="begin"/>
          </w:r>
          <w:r>
            <w:instrText xml:space="preserve"> PAGEREF _Toc882084575 \h </w:instrText>
          </w:r>
          <w:r>
            <w:fldChar w:fldCharType="separate"/>
          </w:r>
          <w:r>
            <w:t>8</w:t>
          </w:r>
          <w:r>
            <w:fldChar w:fldCharType="end"/>
          </w:r>
          <w:r>
            <w:fldChar w:fldCharType="end"/>
          </w:r>
        </w:p>
        <w:p w14:paraId="56BD79C7">
          <w:pPr>
            <w:pStyle w:val="7"/>
            <w:tabs>
              <w:tab w:val="right" w:leader="dot" w:pos="8305"/>
            </w:tabs>
          </w:pPr>
          <w:r>
            <w:fldChar w:fldCharType="begin"/>
          </w:r>
          <w:r>
            <w:instrText xml:space="preserve"> HYPERLINK \l _Toc1115836784 </w:instrText>
          </w:r>
          <w:r>
            <w:fldChar w:fldCharType="separate"/>
          </w:r>
          <w:r>
            <w:rPr>
              <w:rFonts w:hint="eastAsia" w:ascii="宋体" w:hAnsi="宋体" w:cs="宋体"/>
              <w:snapToGrid w:val="0"/>
              <w:szCs w:val="24"/>
              <w:lang w:val="en-US" w:eastAsia="zh-CN" w:bidi="ar-SA"/>
            </w:rPr>
            <w:t>3.1.2检测智产——构建委托至成果交付全过程智能生产体系</w:t>
          </w:r>
          <w:r>
            <w:tab/>
          </w:r>
          <w:r>
            <w:fldChar w:fldCharType="begin"/>
          </w:r>
          <w:r>
            <w:instrText xml:space="preserve"> PAGEREF _Toc1115836784 \h </w:instrText>
          </w:r>
          <w:r>
            <w:fldChar w:fldCharType="separate"/>
          </w:r>
          <w:r>
            <w:t>9</w:t>
          </w:r>
          <w:r>
            <w:fldChar w:fldCharType="end"/>
          </w:r>
          <w:r>
            <w:fldChar w:fldCharType="end"/>
          </w:r>
        </w:p>
        <w:p w14:paraId="5C1676DA">
          <w:pPr>
            <w:pStyle w:val="7"/>
            <w:tabs>
              <w:tab w:val="right" w:leader="dot" w:pos="8305"/>
            </w:tabs>
          </w:pPr>
          <w:r>
            <w:fldChar w:fldCharType="begin"/>
          </w:r>
          <w:r>
            <w:instrText xml:space="preserve"> HYPERLINK \l _Toc2041623084 </w:instrText>
          </w:r>
          <w:r>
            <w:fldChar w:fldCharType="separate"/>
          </w:r>
          <w:r>
            <w:rPr>
              <w:rFonts w:hint="eastAsia" w:ascii="宋体" w:hAnsi="宋体" w:cs="宋体"/>
              <w:snapToGrid w:val="0"/>
              <w:szCs w:val="24"/>
              <w:lang w:val="en-US" w:eastAsia="zh-CN" w:bidi="ar-SA"/>
            </w:rPr>
            <w:t>3.1.3质量智审——构建检测数据全链追溯与成果智能审查体系</w:t>
          </w:r>
          <w:r>
            <w:tab/>
          </w:r>
          <w:r>
            <w:fldChar w:fldCharType="begin"/>
          </w:r>
          <w:r>
            <w:instrText xml:space="preserve"> PAGEREF _Toc2041623084 \h </w:instrText>
          </w:r>
          <w:r>
            <w:fldChar w:fldCharType="separate"/>
          </w:r>
          <w:r>
            <w:t>12</w:t>
          </w:r>
          <w:r>
            <w:fldChar w:fldCharType="end"/>
          </w:r>
          <w:r>
            <w:fldChar w:fldCharType="end"/>
          </w:r>
        </w:p>
        <w:p w14:paraId="1B295CE4">
          <w:pPr>
            <w:pStyle w:val="7"/>
            <w:tabs>
              <w:tab w:val="right" w:leader="dot" w:pos="8305"/>
            </w:tabs>
          </w:pPr>
          <w:r>
            <w:fldChar w:fldCharType="begin"/>
          </w:r>
          <w:r>
            <w:instrText xml:space="preserve"> HYPERLINK \l _Toc1065461022 </w:instrText>
          </w:r>
          <w:r>
            <w:fldChar w:fldCharType="separate"/>
          </w:r>
          <w:r>
            <w:rPr>
              <w:rFonts w:hint="eastAsia" w:ascii="宋体" w:hAnsi="宋体" w:cs="宋体"/>
              <w:snapToGrid w:val="0"/>
              <w:szCs w:val="24"/>
              <w:lang w:val="en-US" w:eastAsia="zh-CN" w:bidi="ar-SA"/>
            </w:rPr>
            <w:t>3.1.4资源智管——构建企业能力与检测资源智能管理体系</w:t>
          </w:r>
          <w:r>
            <w:tab/>
          </w:r>
          <w:r>
            <w:fldChar w:fldCharType="begin"/>
          </w:r>
          <w:r>
            <w:instrText xml:space="preserve"> PAGEREF _Toc1065461022 \h </w:instrText>
          </w:r>
          <w:r>
            <w:fldChar w:fldCharType="separate"/>
          </w:r>
          <w:r>
            <w:t>13</w:t>
          </w:r>
          <w:r>
            <w:fldChar w:fldCharType="end"/>
          </w:r>
          <w:r>
            <w:fldChar w:fldCharType="end"/>
          </w:r>
        </w:p>
        <w:p w14:paraId="0AB92A0C">
          <w:pPr>
            <w:pStyle w:val="7"/>
            <w:tabs>
              <w:tab w:val="right" w:leader="dot" w:pos="8305"/>
            </w:tabs>
          </w:pPr>
          <w:r>
            <w:fldChar w:fldCharType="begin"/>
          </w:r>
          <w:r>
            <w:instrText xml:space="preserve"> HYPERLINK \l _Toc1484748068 </w:instrText>
          </w:r>
          <w:r>
            <w:fldChar w:fldCharType="separate"/>
          </w:r>
          <w:r>
            <w:rPr>
              <w:rFonts w:hint="eastAsia" w:ascii="宋体" w:hAnsi="宋体" w:cs="宋体"/>
              <w:snapToGrid w:val="0"/>
              <w:szCs w:val="24"/>
              <w:lang w:val="en-US" w:eastAsia="zh-CN" w:bidi="ar-SA"/>
            </w:rPr>
            <w:t>3.1.5安全智控——构建试验室安全管理智能协同体系</w:t>
          </w:r>
          <w:r>
            <w:tab/>
          </w:r>
          <w:r>
            <w:fldChar w:fldCharType="begin"/>
          </w:r>
          <w:r>
            <w:instrText xml:space="preserve"> PAGEREF _Toc1484748068 \h </w:instrText>
          </w:r>
          <w:r>
            <w:fldChar w:fldCharType="separate"/>
          </w:r>
          <w:r>
            <w:t>15</w:t>
          </w:r>
          <w:r>
            <w:fldChar w:fldCharType="end"/>
          </w:r>
          <w:r>
            <w:fldChar w:fldCharType="end"/>
          </w:r>
        </w:p>
        <w:p w14:paraId="6DF1E7E6">
          <w:pPr>
            <w:pStyle w:val="7"/>
            <w:tabs>
              <w:tab w:val="right" w:leader="dot" w:pos="8305"/>
            </w:tabs>
          </w:pPr>
          <w:r>
            <w:fldChar w:fldCharType="begin"/>
          </w:r>
          <w:r>
            <w:instrText xml:space="preserve"> HYPERLINK \l _Toc400800736 </w:instrText>
          </w:r>
          <w:r>
            <w:fldChar w:fldCharType="separate"/>
          </w:r>
          <w:r>
            <w:rPr>
              <w:rFonts w:hint="eastAsia" w:ascii="宋体" w:hAnsi="宋体" w:cs="宋体"/>
              <w:snapToGrid w:val="0"/>
              <w:szCs w:val="24"/>
              <w:lang w:val="en-US" w:eastAsia="zh-CN" w:bidi="ar-SA"/>
            </w:rPr>
            <w:t>3.1.6管理智辅——构建试验室运行管理智能辅助体系</w:t>
          </w:r>
          <w:r>
            <w:tab/>
          </w:r>
          <w:r>
            <w:fldChar w:fldCharType="begin"/>
          </w:r>
          <w:r>
            <w:instrText xml:space="preserve"> PAGEREF _Toc400800736 \h </w:instrText>
          </w:r>
          <w:r>
            <w:fldChar w:fldCharType="separate"/>
          </w:r>
          <w:r>
            <w:t>16</w:t>
          </w:r>
          <w:r>
            <w:fldChar w:fldCharType="end"/>
          </w:r>
          <w:r>
            <w:fldChar w:fldCharType="end"/>
          </w:r>
        </w:p>
        <w:p w14:paraId="0CE85048">
          <w:pPr>
            <w:pStyle w:val="12"/>
            <w:tabs>
              <w:tab w:val="right" w:leader="dot" w:pos="8305"/>
            </w:tabs>
          </w:pPr>
          <w:r>
            <w:fldChar w:fldCharType="begin"/>
          </w:r>
          <w:r>
            <w:instrText xml:space="preserve"> HYPERLINK \l _Toc1749252960 </w:instrText>
          </w:r>
          <w:r>
            <w:fldChar w:fldCharType="separate"/>
          </w:r>
          <w:r>
            <w:rPr>
              <w:rFonts w:hint="eastAsia" w:ascii="宋体" w:hAnsi="宋体" w:cs="宋体"/>
              <w:snapToGrid w:val="0"/>
              <w:szCs w:val="28"/>
              <w:lang w:val="en-US" w:eastAsia="zh-CN" w:bidi="ar-SA"/>
            </w:rPr>
            <w:t>3.2</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智能体集群管理中枢</w:t>
          </w:r>
          <w:r>
            <w:tab/>
          </w:r>
          <w:r>
            <w:fldChar w:fldCharType="begin"/>
          </w:r>
          <w:r>
            <w:instrText xml:space="preserve"> PAGEREF _Toc1749252960 \h </w:instrText>
          </w:r>
          <w:r>
            <w:fldChar w:fldCharType="separate"/>
          </w:r>
          <w:r>
            <w:t>17</w:t>
          </w:r>
          <w:r>
            <w:fldChar w:fldCharType="end"/>
          </w:r>
          <w:r>
            <w:fldChar w:fldCharType="end"/>
          </w:r>
        </w:p>
        <w:p w14:paraId="74311FAC">
          <w:pPr>
            <w:pStyle w:val="12"/>
            <w:tabs>
              <w:tab w:val="right" w:leader="dot" w:pos="8305"/>
            </w:tabs>
          </w:pPr>
          <w:r>
            <w:fldChar w:fldCharType="begin"/>
          </w:r>
          <w:r>
            <w:instrText xml:space="preserve"> HYPERLINK \l _Toc643371290 </w:instrText>
          </w:r>
          <w:r>
            <w:fldChar w:fldCharType="separate"/>
          </w:r>
          <w:r>
            <w:rPr>
              <w:rFonts w:hint="eastAsia" w:ascii="宋体" w:hAnsi="宋体" w:cs="宋体"/>
              <w:snapToGrid w:val="0"/>
              <w:szCs w:val="28"/>
              <w:lang w:val="en-US" w:eastAsia="zh-CN" w:bidi="ar-SA"/>
            </w:rPr>
            <w:t>3.3</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智能算力调度平台</w:t>
          </w:r>
          <w:r>
            <w:tab/>
          </w:r>
          <w:r>
            <w:fldChar w:fldCharType="begin"/>
          </w:r>
          <w:r>
            <w:instrText xml:space="preserve"> PAGEREF _Toc643371290 \h </w:instrText>
          </w:r>
          <w:r>
            <w:fldChar w:fldCharType="separate"/>
          </w:r>
          <w:r>
            <w:t>18</w:t>
          </w:r>
          <w:r>
            <w:fldChar w:fldCharType="end"/>
          </w:r>
          <w:r>
            <w:fldChar w:fldCharType="end"/>
          </w:r>
        </w:p>
        <w:p w14:paraId="3EA986B9">
          <w:pPr>
            <w:pStyle w:val="12"/>
            <w:tabs>
              <w:tab w:val="right" w:leader="dot" w:pos="8305"/>
            </w:tabs>
          </w:pPr>
          <w:r>
            <w:fldChar w:fldCharType="begin"/>
          </w:r>
          <w:r>
            <w:instrText xml:space="preserve"> HYPERLINK \l _Toc561108385 </w:instrText>
          </w:r>
          <w:r>
            <w:fldChar w:fldCharType="separate"/>
          </w:r>
          <w:r>
            <w:rPr>
              <w:rFonts w:hint="eastAsia" w:ascii="宋体" w:hAnsi="宋体" w:cs="宋体"/>
              <w:snapToGrid w:val="0"/>
              <w:szCs w:val="28"/>
              <w:lang w:val="en-US" w:eastAsia="zh-CN" w:bidi="ar-SA"/>
            </w:rPr>
            <w:t>3.4</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算力服务器建设（硬件）</w:t>
          </w:r>
          <w:r>
            <w:tab/>
          </w:r>
          <w:r>
            <w:fldChar w:fldCharType="begin"/>
          </w:r>
          <w:r>
            <w:instrText xml:space="preserve"> PAGEREF _Toc561108385 \h </w:instrText>
          </w:r>
          <w:r>
            <w:fldChar w:fldCharType="separate"/>
          </w:r>
          <w:r>
            <w:t>18</w:t>
          </w:r>
          <w:r>
            <w:fldChar w:fldCharType="end"/>
          </w:r>
          <w:r>
            <w:fldChar w:fldCharType="end"/>
          </w:r>
        </w:p>
        <w:p w14:paraId="56F7E997">
          <w:pPr>
            <w:pStyle w:val="11"/>
            <w:tabs>
              <w:tab w:val="right" w:leader="dot" w:pos="8305"/>
            </w:tabs>
          </w:pPr>
          <w:r>
            <w:fldChar w:fldCharType="begin"/>
          </w:r>
          <w:r>
            <w:instrText xml:space="preserve"> HYPERLINK \l _Toc947932718 </w:instrText>
          </w:r>
          <w:r>
            <w:fldChar w:fldCharType="separate"/>
          </w:r>
          <w:r>
            <w:rPr>
              <w:rFonts w:hint="eastAsia" w:ascii="宋体" w:hAnsi="宋体" w:cs="宋体"/>
              <w:snapToGrid w:val="0"/>
              <w:szCs w:val="28"/>
              <w:lang w:val="en-US" w:eastAsia="zh-CN" w:bidi="ar-SA"/>
            </w:rPr>
            <w:t>四</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项目计划与预期成果</w:t>
          </w:r>
          <w:r>
            <w:tab/>
          </w:r>
          <w:r>
            <w:fldChar w:fldCharType="begin"/>
          </w:r>
          <w:r>
            <w:instrText xml:space="preserve"> PAGEREF _Toc947932718 \h </w:instrText>
          </w:r>
          <w:r>
            <w:fldChar w:fldCharType="separate"/>
          </w:r>
          <w:r>
            <w:t>20</w:t>
          </w:r>
          <w:r>
            <w:fldChar w:fldCharType="end"/>
          </w:r>
          <w:r>
            <w:fldChar w:fldCharType="end"/>
          </w:r>
        </w:p>
        <w:p w14:paraId="1739466D">
          <w:pPr>
            <w:pStyle w:val="12"/>
            <w:tabs>
              <w:tab w:val="right" w:leader="dot" w:pos="8305"/>
            </w:tabs>
          </w:pPr>
          <w:r>
            <w:fldChar w:fldCharType="begin"/>
          </w:r>
          <w:r>
            <w:instrText xml:space="preserve"> HYPERLINK \l _Toc1871497980 </w:instrText>
          </w:r>
          <w:r>
            <w:fldChar w:fldCharType="separate"/>
          </w:r>
          <w:r>
            <w:rPr>
              <w:rFonts w:hint="eastAsia" w:ascii="宋体" w:hAnsi="宋体" w:cs="宋体"/>
              <w:snapToGrid w:val="0"/>
              <w:szCs w:val="28"/>
              <w:lang w:val="en-US" w:eastAsia="zh-CN" w:bidi="ar-SA"/>
            </w:rPr>
            <w:t>4.1 工作安排</w:t>
          </w:r>
          <w:r>
            <w:tab/>
          </w:r>
          <w:r>
            <w:fldChar w:fldCharType="begin"/>
          </w:r>
          <w:r>
            <w:instrText xml:space="preserve"> PAGEREF _Toc1871497980 \h </w:instrText>
          </w:r>
          <w:r>
            <w:fldChar w:fldCharType="separate"/>
          </w:r>
          <w:r>
            <w:t>20</w:t>
          </w:r>
          <w:r>
            <w:fldChar w:fldCharType="end"/>
          </w:r>
          <w:r>
            <w:fldChar w:fldCharType="end"/>
          </w:r>
        </w:p>
        <w:p w14:paraId="570131A6">
          <w:pPr>
            <w:pStyle w:val="12"/>
            <w:tabs>
              <w:tab w:val="right" w:leader="dot" w:pos="8305"/>
            </w:tabs>
          </w:pPr>
          <w:r>
            <w:fldChar w:fldCharType="begin"/>
          </w:r>
          <w:r>
            <w:instrText xml:space="preserve"> HYPERLINK \l _Toc73572251 </w:instrText>
          </w:r>
          <w:r>
            <w:fldChar w:fldCharType="separate"/>
          </w:r>
          <w:r>
            <w:rPr>
              <w:rFonts w:hint="eastAsia" w:ascii="宋体" w:hAnsi="宋体" w:cs="宋体"/>
              <w:snapToGrid w:val="0"/>
              <w:szCs w:val="28"/>
              <w:lang w:val="en-US" w:eastAsia="zh-CN" w:bidi="ar-SA"/>
            </w:rPr>
            <w:t>4.2 预期成果</w:t>
          </w:r>
          <w:r>
            <w:tab/>
          </w:r>
          <w:r>
            <w:fldChar w:fldCharType="begin"/>
          </w:r>
          <w:r>
            <w:instrText xml:space="preserve"> PAGEREF _Toc73572251 \h </w:instrText>
          </w:r>
          <w:r>
            <w:fldChar w:fldCharType="separate"/>
          </w:r>
          <w:r>
            <w:t>20</w:t>
          </w:r>
          <w:r>
            <w:fldChar w:fldCharType="end"/>
          </w:r>
          <w:r>
            <w:fldChar w:fldCharType="end"/>
          </w:r>
        </w:p>
        <w:p w14:paraId="63A8EC1D">
          <w:pPr>
            <w:sectPr>
              <w:headerReference r:id="rId4" w:type="default"/>
              <w:pgSz w:w="11905" w:h="16840"/>
              <w:cols w:space="720" w:num="1"/>
            </w:sectPr>
          </w:pPr>
          <w:r>
            <w:fldChar w:fldCharType="end"/>
          </w:r>
        </w:p>
      </w:sdtContent>
    </w:sdt>
    <w:p w14:paraId="59ED939D"/>
    <w:bookmarkEnd w:id="2"/>
    <w:p w14:paraId="68DB3796">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eastAsia" w:ascii="宋体" w:hAnsi="宋体" w:eastAsia="宋体" w:cs="宋体"/>
          <w:b/>
          <w:snapToGrid w:val="0"/>
          <w:color w:val="000000"/>
          <w:sz w:val="28"/>
          <w:szCs w:val="28"/>
          <w:lang w:val="en-US" w:eastAsia="zh-CN" w:bidi="ar-SA"/>
        </w:rPr>
      </w:pPr>
      <w:bookmarkStart w:id="3" w:name="_Toc2083037726"/>
      <w:r>
        <w:rPr>
          <w:rFonts w:hint="eastAsia" w:ascii="宋体" w:hAnsi="宋体" w:eastAsia="宋体" w:cs="宋体"/>
          <w:b/>
          <w:snapToGrid w:val="0"/>
          <w:color w:val="000000"/>
          <w:sz w:val="28"/>
          <w:szCs w:val="28"/>
          <w:lang w:val="en-US" w:eastAsia="zh-CN" w:bidi="ar-SA"/>
        </w:rPr>
        <w:t>一、项目概述</w:t>
      </w:r>
      <w:bookmarkEnd w:id="3"/>
    </w:p>
    <w:p w14:paraId="5B4C3231">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eastAsia="宋体" w:cs="宋体"/>
          <w:b/>
          <w:snapToGrid w:val="0"/>
          <w:color w:val="000000"/>
          <w:sz w:val="28"/>
          <w:szCs w:val="28"/>
          <w:lang w:val="en-US" w:eastAsia="en-US" w:bidi="ar-SA"/>
        </w:rPr>
      </w:pPr>
      <w:bookmarkStart w:id="4" w:name="_Toc1336647488"/>
      <w:r>
        <w:rPr>
          <w:rFonts w:hint="eastAsia" w:ascii="宋体" w:hAnsi="宋体" w:eastAsia="宋体" w:cs="宋体"/>
          <w:b/>
          <w:snapToGrid w:val="0"/>
          <w:color w:val="000000"/>
          <w:sz w:val="28"/>
          <w:szCs w:val="28"/>
          <w:lang w:val="en-US" w:eastAsia="en-US" w:bidi="ar-SA"/>
        </w:rPr>
        <w:t>1.1 项目背景</w:t>
      </w:r>
      <w:bookmarkEnd w:id="4"/>
    </w:p>
    <w:p w14:paraId="3CB7B27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随着公路工程建设、运营养护及质量监管持续向数字化、智能化方向发展，试验检测业务正在由传统的人工操作、分散管理和单点信息化，逐步向数据贯通、业务协同和智能辅助转变。试验检测机构在项目承接、委托受理、样品管理、试验检测、报告编制、质量审核、资源管理、安全管理以及综合管理等环节积累了大量业务数据、专业知识和管理资料，为进一步开展智能化应用奠定了基础。</w:t>
      </w:r>
    </w:p>
    <w:p w14:paraId="56070F1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前期项目已围绕试验室数字化和人工智能应用开展持续建设，形成了较为完整的业务信息化基础。一方面，通过任务管理、人员设备管理、试验室数字孪生等系统建设，实现试验检测业务基础数据和过程信息的数字化管理；另一方面，通过公路工程试验检测标准规范知识归集、行业大模型训练、知识问答、语音助手、纸质原始记录智能识别、常规检测报告自动生成以及部分智能体应用，对大模型在试验检测行业中的应用进行了初步探索。</w:t>
      </w:r>
    </w:p>
    <w:p w14:paraId="40028D0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此基础上，项目三期不再以新增单一智能功能或单个智能体为主要建设方向，而是进一步推动已有数字化基础、行业大模型、知识资源、业务数据、设备数据和智能能力向实际业务流程深入融合，形成覆盖项目承接、检测生产、质量控制、资源管理、安全管理和综合管理的智能化应用体系。</w:t>
      </w:r>
    </w:p>
    <w:p w14:paraId="546798D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同时，随着智能应用数量增加以及大模型、多模态识别、文档解析、知识检索等应用持续深化，对本地计算资源、模型运行能力和智能体统一管理能力提出了更高要求。因此，本期同步完善本地智能算力资源，建设智能算力调度平台和智能体集群管理中枢，为各类智能应用提供统一、稳定、可管理的运行支撑。</w:t>
      </w:r>
    </w:p>
    <w:p w14:paraId="43347BE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通过本期建设，逐步推动试验检测业务由“业务数字化、局部智能化”向“业务贯通、智能协同、统一管理、算力支撑”转变，形成具有公路工程试验检测行业特点的智能化业务体系。</w:t>
      </w:r>
    </w:p>
    <w:p w14:paraId="1F83BA47">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cs="宋体"/>
          <w:b/>
          <w:snapToGrid w:val="0"/>
          <w:color w:val="000000"/>
          <w:sz w:val="28"/>
          <w:szCs w:val="28"/>
          <w:lang w:val="en-US" w:eastAsia="zh-CN" w:bidi="ar-SA"/>
        </w:rPr>
      </w:pPr>
      <w:bookmarkStart w:id="5" w:name="_Toc207899549"/>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2</w:t>
      </w:r>
      <w:r>
        <w:rPr>
          <w:rFonts w:hint="eastAsia" w:ascii="宋体" w:hAnsi="宋体" w:eastAsia="宋体" w:cs="宋体"/>
          <w:b/>
          <w:snapToGrid w:val="0"/>
          <w:color w:val="000000"/>
          <w:sz w:val="28"/>
          <w:szCs w:val="28"/>
          <w:lang w:val="en-US" w:eastAsia="en-US" w:bidi="ar-SA"/>
        </w:rPr>
        <w:t xml:space="preserve"> 项目</w:t>
      </w:r>
      <w:r>
        <w:rPr>
          <w:rFonts w:hint="eastAsia" w:ascii="宋体" w:hAnsi="宋体" w:cs="宋体"/>
          <w:b/>
          <w:snapToGrid w:val="0"/>
          <w:color w:val="000000"/>
          <w:sz w:val="28"/>
          <w:szCs w:val="28"/>
          <w:lang w:val="en-US" w:eastAsia="zh-CN" w:bidi="ar-SA"/>
        </w:rPr>
        <w:t>现状</w:t>
      </w:r>
      <w:bookmarkEnd w:id="5"/>
    </w:p>
    <w:p w14:paraId="59A5004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经过前期建设，目前已具备开展三期智能化提升的基础条件</w:t>
      </w:r>
      <w:r>
        <w:rPr>
          <w:rFonts w:hint="eastAsia" w:ascii="宋体" w:hAnsi="宋体" w:cs="宋体"/>
          <w:snapToGrid w:val="0"/>
          <w:color w:val="000000"/>
          <w:sz w:val="24"/>
          <w:szCs w:val="24"/>
          <w:lang w:val="en-US" w:eastAsia="zh-CN" w:bidi="ar-SA"/>
        </w:rPr>
        <w:t>：</w:t>
      </w:r>
    </w:p>
    <w:p w14:paraId="46D74A4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在知识与模型能力方面</w:t>
      </w:r>
      <w:r>
        <w:rPr>
          <w:rFonts w:hint="eastAsia" w:ascii="宋体" w:hAnsi="宋体" w:eastAsia="宋体" w:cs="宋体"/>
          <w:snapToGrid w:val="0"/>
          <w:color w:val="000000"/>
          <w:sz w:val="24"/>
          <w:szCs w:val="24"/>
          <w:lang w:val="en-US" w:eastAsia="zh-CN" w:bidi="ar-SA"/>
        </w:rPr>
        <w:t>，已归集公路工程试验检测相关标准规范资料，并形成初步知识库；基于行业知识开展了领域大模型训练，已能够支撑试验检测行业知识问答。现阶段知识资源主要服务于知识查询，后续仍有进一步与具体业务流程、项目资料和企业内部资料融合的空间。</w:t>
      </w:r>
    </w:p>
    <w:p w14:paraId="47683AF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在智能交互方面</w:t>
      </w:r>
      <w:r>
        <w:rPr>
          <w:rFonts w:hint="eastAsia" w:ascii="宋体" w:hAnsi="宋体" w:eastAsia="宋体" w:cs="宋体"/>
          <w:snapToGrid w:val="0"/>
          <w:color w:val="000000"/>
          <w:sz w:val="24"/>
          <w:szCs w:val="24"/>
          <w:lang w:val="en-US" w:eastAsia="zh-CN" w:bidi="ar-SA"/>
        </w:rPr>
        <w:t>，已建设面向试验室应用的语音助手，可通过语音完成行业知识问答、检测任务信息查询和部分试验室智能屏控制，并已与烘箱、软化点仪、针入度仪、延度仪等设备形成初步联动，为人机自然交互和设备智能化应用积累了基础。</w:t>
      </w:r>
    </w:p>
    <w:p w14:paraId="04C6F49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在检测业务方面</w:t>
      </w:r>
      <w:r>
        <w:rPr>
          <w:rFonts w:hint="eastAsia" w:ascii="宋体" w:hAnsi="宋体" w:eastAsia="宋体" w:cs="宋体"/>
          <w:snapToGrid w:val="0"/>
          <w:color w:val="000000"/>
          <w:sz w:val="24"/>
          <w:szCs w:val="24"/>
          <w:lang w:val="en-US" w:eastAsia="zh-CN" w:bidi="ar-SA"/>
        </w:rPr>
        <w:t>，现有任务系统已覆盖委托、任务、数据录入、检测报告等主要环节，各检测项目已配置相应计算公式；二期已实现纸质原始记录智能识别并将识别结果辅助填入数据录入环节，同时具备常规检测报告自动生成能力。因此，三期建设重点不再重复开展常规计算、常规报告生成和基础OCR识别，而是向样品全过程管理、设备数据直采、专项报告智能编制、检测数据追溯和智能审查等更深层业务场景延伸。</w:t>
      </w:r>
    </w:p>
    <w:p w14:paraId="3E54CE5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在资源与安全管理方面</w:t>
      </w:r>
      <w:r>
        <w:rPr>
          <w:rFonts w:hint="eastAsia" w:ascii="宋体" w:hAnsi="宋体" w:eastAsia="宋体" w:cs="宋体"/>
          <w:snapToGrid w:val="0"/>
          <w:color w:val="000000"/>
          <w:sz w:val="24"/>
          <w:szCs w:val="24"/>
          <w:lang w:val="en-US" w:eastAsia="zh-CN" w:bidi="ar-SA"/>
        </w:rPr>
        <w:t>，现有平台已具备人员、设备、检测项目等基础资产管理能力，并已建设危化品线上管理功能。三期将在已有数字化管理基础上，进一步增强自然语言查询、资源分析、业务关联、异常提醒和辅助调度等智能化能力。</w:t>
      </w:r>
    </w:p>
    <w:p w14:paraId="5E0DF16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在智能体应用方面</w:t>
      </w:r>
      <w:r>
        <w:rPr>
          <w:rFonts w:hint="eastAsia" w:ascii="宋体" w:hAnsi="宋体" w:eastAsia="宋体" w:cs="宋体"/>
          <w:snapToGrid w:val="0"/>
          <w:color w:val="000000"/>
          <w:sz w:val="24"/>
          <w:szCs w:val="24"/>
          <w:lang w:val="en-US" w:eastAsia="zh-CN" w:bidi="ar-SA"/>
        </w:rPr>
        <w:t>，二期已经形成部分智能体及相关应用能力。现阶段更需要解决的是不同智能体之间相对独立、能力配置和业务调用缺少统一管理的问题。因此，三期建设重点由“单个智能体建设”转向“智能体集群统一治理”，通过智能体集群管理中枢对既有和新增智能体进行统一管理，并根据不同业务任务统一编排模型、知识、数据和工具。现有相关项目技术体系已经形成智能体配置、工具注册、企业向量库等统一治理思路，并支持智能体对知识检索、数据查询等下游服务进行编排调用。</w:t>
      </w:r>
    </w:p>
    <w:p w14:paraId="6A1D8DB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总体来看，项目已经完成从业务信息化到智能化应用探索的基础积累，三期具备进一步开展业务场景深化、智能能力整合和算力资源提升的建设条件。</w:t>
      </w:r>
    </w:p>
    <w:p w14:paraId="24A6D669">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cs="宋体"/>
          <w:b/>
          <w:snapToGrid w:val="0"/>
          <w:color w:val="000000"/>
          <w:sz w:val="28"/>
          <w:szCs w:val="28"/>
          <w:lang w:val="en-US" w:eastAsia="zh-CN" w:bidi="ar-SA"/>
        </w:rPr>
      </w:pPr>
      <w:bookmarkStart w:id="6" w:name="_Toc211826374"/>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3</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项目目标与成果</w:t>
      </w:r>
      <w:bookmarkEnd w:id="6"/>
    </w:p>
    <w:p w14:paraId="66E636F8">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7" w:name="_Toc1785464739"/>
      <w:r>
        <w:rPr>
          <w:rFonts w:hint="eastAsia" w:ascii="宋体" w:hAnsi="宋体" w:cs="宋体"/>
          <w:b/>
          <w:snapToGrid w:val="0"/>
          <w:color w:val="000000"/>
          <w:sz w:val="24"/>
          <w:szCs w:val="24"/>
          <w:lang w:val="en-US" w:eastAsia="zh-CN" w:bidi="ar-SA"/>
        </w:rPr>
        <w:t>1.3.1建设目标</w:t>
      </w:r>
      <w:bookmarkEnd w:id="7"/>
    </w:p>
    <w:p w14:paraId="6E7AC2E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本期项目以试验检测业务智能化升级为主线，在充分继承前期建设成果的基础上，围绕“业务贯通、智能协同、统一管理、算力支撑”开展建设。</w:t>
      </w:r>
    </w:p>
    <w:p w14:paraId="6B68414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第一，构建覆盖试验检测主营业务和管理业务的智能化应用体系。</w:t>
      </w:r>
      <w:r>
        <w:rPr>
          <w:rFonts w:hint="eastAsia" w:ascii="宋体" w:hAnsi="宋体" w:eastAsia="宋体" w:cs="宋体"/>
          <w:snapToGrid w:val="0"/>
          <w:color w:val="000000"/>
          <w:sz w:val="24"/>
          <w:szCs w:val="24"/>
          <w:lang w:val="en-US" w:eastAsia="zh-CN" w:bidi="ar-SA"/>
        </w:rPr>
        <w:t>围绕项目智拓、检测智产、质量智审、资源智管、安全智控、管理智辅六大业务线，将人工智能能力嵌入项目承接、委托检测、样品管理、试验检测、报告编制、质量审核、资源管理、安全管理和经营管理等实际业务流程。</w:t>
      </w:r>
    </w:p>
    <w:p w14:paraId="28A8F89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第二，建设智能体集群管理中枢。</w:t>
      </w:r>
      <w:r>
        <w:rPr>
          <w:rFonts w:hint="eastAsia" w:ascii="宋体" w:hAnsi="宋体" w:eastAsia="宋体" w:cs="宋体"/>
          <w:snapToGrid w:val="0"/>
          <w:color w:val="000000"/>
          <w:sz w:val="24"/>
          <w:szCs w:val="24"/>
          <w:lang w:val="en-US" w:eastAsia="zh-CN" w:bidi="ar-SA"/>
        </w:rPr>
        <w:t>统一管理前期已有和本期新增的业务智能体，根据业务任务统一编排大模型、知识库、业务数据、专业工具及业务系统，实现由单一智能体独立运行向多智能能力协同运行转变。</w:t>
      </w:r>
    </w:p>
    <w:p w14:paraId="20BEDCC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第三，建设算力调度平台。</w:t>
      </w:r>
      <w:r>
        <w:rPr>
          <w:rFonts w:hint="eastAsia" w:ascii="宋体" w:hAnsi="宋体" w:eastAsia="宋体" w:cs="宋体"/>
          <w:snapToGrid w:val="0"/>
          <w:color w:val="000000"/>
          <w:sz w:val="24"/>
          <w:szCs w:val="24"/>
          <w:lang w:val="en-US" w:eastAsia="zh-CN" w:bidi="ar-SA"/>
        </w:rPr>
        <w:t>对本地GPU服务器及相关计算资源进行统一纳管，重点实现算力资源使用情况、服务器运行状态、模型任务运行情况等信息的统一监测，并根据不同人工智能任务需求开展基础资源调度。</w:t>
      </w:r>
    </w:p>
    <w:p w14:paraId="354A647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第四，建设算力服务器。</w:t>
      </w:r>
      <w:r>
        <w:rPr>
          <w:rFonts w:hint="eastAsia" w:ascii="宋体" w:hAnsi="宋体" w:eastAsia="宋体" w:cs="宋体"/>
          <w:snapToGrid w:val="0"/>
          <w:color w:val="000000"/>
          <w:sz w:val="24"/>
          <w:szCs w:val="24"/>
          <w:lang w:val="en-US" w:eastAsia="zh-CN" w:bidi="ar-SA"/>
        </w:rPr>
        <w:t>结合大模型推理、训练、多模态识别、文档解析和智能体运行等</w:t>
      </w:r>
      <w:r>
        <w:rPr>
          <w:rFonts w:hint="eastAsia" w:ascii="宋体" w:hAnsi="宋体" w:cs="宋体"/>
          <w:snapToGrid w:val="0"/>
          <w:color w:val="000000"/>
          <w:sz w:val="24"/>
          <w:szCs w:val="24"/>
          <w:lang w:val="en-US" w:eastAsia="zh-CN" w:bidi="ar-SA"/>
        </w:rPr>
        <w:t>算力</w:t>
      </w:r>
      <w:r>
        <w:rPr>
          <w:rFonts w:hint="eastAsia" w:ascii="宋体" w:hAnsi="宋体" w:eastAsia="宋体" w:cs="宋体"/>
          <w:snapToGrid w:val="0"/>
          <w:color w:val="000000"/>
          <w:sz w:val="24"/>
          <w:szCs w:val="24"/>
          <w:lang w:val="en-US" w:eastAsia="zh-CN" w:bidi="ar-SA"/>
        </w:rPr>
        <w:t>需求，配置算力服务器、通用应用服务器</w:t>
      </w:r>
      <w:r>
        <w:rPr>
          <w:rFonts w:hint="eastAsia" w:ascii="宋体" w:hAnsi="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配套存储和网络设施，为各类智能应用提供稳定的本地运行支撑。</w:t>
      </w:r>
    </w:p>
    <w:p w14:paraId="2CF32E7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最终形成“业务智能应用 + 智能体集群管理 + 智能算力调度 + 本地算力资源”</w:t>
      </w:r>
      <w:r>
        <w:rPr>
          <w:rFonts w:hint="eastAsia" w:ascii="宋体" w:hAnsi="宋体" w:eastAsia="宋体" w:cs="宋体"/>
          <w:snapToGrid w:val="0"/>
          <w:color w:val="000000"/>
          <w:sz w:val="24"/>
          <w:szCs w:val="24"/>
          <w:lang w:val="en-US" w:eastAsia="zh-CN" w:bidi="ar-SA"/>
        </w:rPr>
        <w:t>相互协同的试验检测智能化体系。</w:t>
      </w:r>
    </w:p>
    <w:p w14:paraId="11777C81">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8" w:name="_Toc1516868842"/>
      <w:r>
        <w:rPr>
          <w:rFonts w:hint="eastAsia" w:ascii="宋体" w:hAnsi="宋体" w:cs="宋体"/>
          <w:b/>
          <w:snapToGrid w:val="0"/>
          <w:color w:val="000000"/>
          <w:sz w:val="24"/>
          <w:szCs w:val="24"/>
          <w:lang w:val="en-US" w:eastAsia="zh-CN" w:bidi="ar-SA"/>
        </w:rPr>
        <w:t>1.3.2建设成果</w:t>
      </w:r>
      <w:bookmarkEnd w:id="8"/>
    </w:p>
    <w:p w14:paraId="6683DF1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项目计划形成四类核心建设成果：</w:t>
      </w:r>
    </w:p>
    <w:p w14:paraId="6ABB576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业务功能成果：</w:t>
      </w:r>
      <w:r>
        <w:rPr>
          <w:rFonts w:hint="eastAsia" w:ascii="宋体" w:hAnsi="宋体" w:eastAsia="宋体" w:cs="宋体"/>
          <w:snapToGrid w:val="0"/>
          <w:color w:val="000000"/>
          <w:sz w:val="24"/>
          <w:szCs w:val="24"/>
          <w:lang w:val="en-US" w:eastAsia="zh-CN" w:bidi="ar-SA"/>
        </w:rPr>
        <w:t>形成覆盖六大业务线的试验室智能化应用体系，实现智能能力在项目承接、检测生产、质量控制、资源管理、安全管理和综合管理中的实际应用。</w:t>
      </w:r>
    </w:p>
    <w:p w14:paraId="09AB656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平台软件成果：</w:t>
      </w:r>
      <w:r>
        <w:rPr>
          <w:rFonts w:hint="eastAsia" w:ascii="宋体" w:hAnsi="宋体" w:eastAsia="宋体" w:cs="宋体"/>
          <w:snapToGrid w:val="0"/>
          <w:color w:val="000000"/>
          <w:sz w:val="24"/>
          <w:szCs w:val="24"/>
          <w:lang w:val="en-US" w:eastAsia="zh-CN" w:bidi="ar-SA"/>
        </w:rPr>
        <w:t>形成智能体集群管理中枢和智能算力调度平台，实现智能体统一管理、业务任务编排以及算力资源统一监测。</w:t>
      </w:r>
    </w:p>
    <w:p w14:paraId="234A12F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基础设施成果：</w:t>
      </w:r>
      <w:r>
        <w:rPr>
          <w:rFonts w:hint="eastAsia" w:ascii="宋体" w:hAnsi="宋体" w:eastAsia="宋体" w:cs="宋体"/>
          <w:snapToGrid w:val="0"/>
          <w:color w:val="000000"/>
          <w:sz w:val="24"/>
          <w:szCs w:val="24"/>
          <w:lang w:val="en-US" w:eastAsia="zh-CN" w:bidi="ar-SA"/>
        </w:rPr>
        <w:t>形成满足本单位大模型及人工智能应用运行需求的本地智能算力资源环境。</w:t>
      </w:r>
    </w:p>
    <w:p w14:paraId="063E5AEB">
      <w:pPr>
        <w:bidi w:val="0"/>
        <w:rPr>
          <w:rFonts w:hint="eastAsia"/>
          <w:lang w:val="en-US" w:eastAsia="zh-CN"/>
        </w:rPr>
      </w:pPr>
    </w:p>
    <w:p w14:paraId="6731EBFC">
      <w:pPr>
        <w:rPr>
          <w:rFonts w:hint="eastAsia" w:ascii="宋体" w:hAnsi="宋体" w:cs="宋体"/>
          <w:b/>
          <w:snapToGrid w:val="0"/>
          <w:color w:val="000000"/>
          <w:sz w:val="28"/>
          <w:szCs w:val="28"/>
          <w:highlight w:val="none"/>
          <w:lang w:val="en-US" w:eastAsia="zh-CN" w:bidi="ar-SA"/>
        </w:rPr>
      </w:pPr>
      <w:r>
        <w:rPr>
          <w:rFonts w:hint="eastAsia" w:ascii="宋体" w:hAnsi="宋体" w:cs="宋体"/>
          <w:b/>
          <w:snapToGrid w:val="0"/>
          <w:color w:val="000000"/>
          <w:sz w:val="28"/>
          <w:szCs w:val="28"/>
          <w:highlight w:val="none"/>
          <w:lang w:val="en-US" w:eastAsia="zh-CN" w:bidi="ar-SA"/>
        </w:rPr>
        <w:br w:type="page"/>
      </w:r>
    </w:p>
    <w:p w14:paraId="263AB2E0">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eastAsia" w:ascii="宋体" w:hAnsi="宋体" w:cs="宋体"/>
          <w:b/>
          <w:snapToGrid w:val="0"/>
          <w:color w:val="000000"/>
          <w:sz w:val="28"/>
          <w:szCs w:val="28"/>
          <w:highlight w:val="none"/>
          <w:lang w:val="en-US" w:eastAsia="zh-CN" w:bidi="ar-SA"/>
        </w:rPr>
      </w:pPr>
      <w:bookmarkStart w:id="9" w:name="_Toc1236253957"/>
      <w:r>
        <w:rPr>
          <w:rFonts w:hint="eastAsia" w:ascii="宋体" w:hAnsi="宋体" w:cs="宋体"/>
          <w:b/>
          <w:snapToGrid w:val="0"/>
          <w:color w:val="000000"/>
          <w:sz w:val="28"/>
          <w:szCs w:val="28"/>
          <w:highlight w:val="none"/>
          <w:lang w:val="en-US" w:eastAsia="zh-CN" w:bidi="ar-SA"/>
        </w:rPr>
        <w:t>二</w:t>
      </w:r>
      <w:r>
        <w:rPr>
          <w:rFonts w:hint="eastAsia" w:ascii="宋体" w:hAnsi="宋体" w:eastAsia="宋体" w:cs="宋体"/>
          <w:b/>
          <w:snapToGrid w:val="0"/>
          <w:color w:val="000000"/>
          <w:sz w:val="28"/>
          <w:szCs w:val="28"/>
          <w:highlight w:val="none"/>
          <w:lang w:val="en-US" w:eastAsia="zh-CN" w:bidi="ar-SA"/>
        </w:rPr>
        <w:t>、</w:t>
      </w:r>
      <w:r>
        <w:rPr>
          <w:rFonts w:hint="eastAsia" w:ascii="宋体" w:hAnsi="宋体" w:cs="宋体"/>
          <w:b/>
          <w:snapToGrid w:val="0"/>
          <w:color w:val="000000"/>
          <w:sz w:val="28"/>
          <w:szCs w:val="28"/>
          <w:highlight w:val="none"/>
          <w:lang w:val="en-US" w:eastAsia="zh-CN" w:bidi="ar-SA"/>
        </w:rPr>
        <w:t>总体架构</w:t>
      </w:r>
      <w:bookmarkEnd w:id="9"/>
    </w:p>
    <w:p w14:paraId="57B9C18A">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eastAsia="宋体"/>
          <w:lang w:val="en-US" w:eastAsia="zh-CN"/>
        </w:rPr>
      </w:pPr>
      <w:bookmarkStart w:id="10" w:name="_Toc815970574"/>
      <w:r>
        <w:rPr>
          <w:rFonts w:hint="eastAsia" w:ascii="宋体" w:hAnsi="宋体" w:cs="宋体"/>
          <w:b/>
          <w:snapToGrid w:val="0"/>
          <w:color w:val="000000"/>
          <w:sz w:val="28"/>
          <w:szCs w:val="28"/>
          <w:lang w:val="en-US" w:eastAsia="zh-CN" w:bidi="ar-SA"/>
        </w:rPr>
        <w:t>2.1</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业务架构</w:t>
      </w:r>
      <w:bookmarkEnd w:id="10"/>
    </w:p>
    <w:p w14:paraId="01BE59F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本项目以试验检测主营业务流程为主线，以质量、资源和安全管理为保障，以综合管理为统筹，构建六大智能化业务体系。</w:t>
      </w:r>
    </w:p>
    <w:p w14:paraId="015FCBCC">
      <w:pPr>
        <w:bidi w:val="0"/>
        <w:rPr>
          <w:rFonts w:hint="eastAsia"/>
          <w:lang w:val="en-US" w:eastAsia="zh-CN"/>
        </w:rPr>
      </w:pPr>
      <w:r>
        <w:rPr>
          <w:rFonts w:hint="eastAsia"/>
          <w:lang w:val="en-US" w:eastAsia="zh-CN"/>
        </w:rPr>
        <w:drawing>
          <wp:inline distT="0" distB="0" distL="114300" distR="114300">
            <wp:extent cx="5266055" cy="2963545"/>
            <wp:effectExtent l="0" t="0" r="17145" b="8255"/>
            <wp:docPr id="8" name="图片 8" descr="img_v3_0215p_27116085-de02-4e96-b59d-c6aeb5f297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v3_0215p_27116085-de02-4e96-b59d-c6aeb5f2970g"/>
                    <pic:cNvPicPr>
                      <a:picLocks noChangeAspect="1"/>
                    </pic:cNvPicPr>
                  </pic:nvPicPr>
                  <pic:blipFill>
                    <a:blip r:embed="rId6"/>
                    <a:stretch>
                      <a:fillRect/>
                    </a:stretch>
                  </pic:blipFill>
                  <pic:spPr>
                    <a:xfrm>
                      <a:off x="0" y="0"/>
                      <a:ext cx="5266055" cy="2963545"/>
                    </a:xfrm>
                    <a:prstGeom prst="rect">
                      <a:avLst/>
                    </a:prstGeom>
                  </pic:spPr>
                </pic:pic>
              </a:graphicData>
            </a:graphic>
          </wp:inline>
        </w:drawing>
      </w:r>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659"/>
        <w:gridCol w:w="3218"/>
        <w:gridCol w:w="4668"/>
      </w:tblGrid>
      <w:tr w14:paraId="65FE0F32">
        <w:trPr>
          <w:cantSplit/>
          <w:tblHeader/>
          <w:jc w:val="center"/>
        </w:trPr>
        <w:tc>
          <w:tcPr>
            <w:tcW w:w="0" w:type="auto"/>
            <w:shd w:val="clear" w:color="auto" w:fill="17365D"/>
            <w:tcMar>
              <w:top w:w="100" w:type="dxa"/>
              <w:left w:w="120" w:type="dxa"/>
              <w:bottom w:w="100" w:type="dxa"/>
              <w:right w:w="120" w:type="dxa"/>
            </w:tcMar>
            <w:vAlign w:val="center"/>
          </w:tcPr>
          <w:p w14:paraId="477096A6">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业务体系</w:t>
            </w:r>
          </w:p>
        </w:tc>
        <w:tc>
          <w:tcPr>
            <w:tcW w:w="0" w:type="auto"/>
            <w:shd w:val="clear" w:color="auto" w:fill="17365D"/>
            <w:tcMar>
              <w:top w:w="100" w:type="dxa"/>
              <w:left w:w="120" w:type="dxa"/>
              <w:bottom w:w="100" w:type="dxa"/>
              <w:right w:w="120" w:type="dxa"/>
            </w:tcMar>
            <w:vAlign w:val="center"/>
          </w:tcPr>
          <w:p w14:paraId="2046D1E5">
            <w:pPr>
              <w:spacing w:before="0" w:after="0" w:line="269" w:lineRule="auto"/>
              <w:jc w:val="center"/>
              <w:rPr>
                <w:rFonts w:hint="eastAsia" w:ascii="宋体" w:hAnsi="宋体" w:eastAsia="宋体" w:cs="宋体"/>
                <w:lang w:eastAsia="zh-CN"/>
              </w:rPr>
            </w:pPr>
            <w:r>
              <w:rPr>
                <w:rFonts w:hint="eastAsia" w:ascii="宋体" w:hAnsi="宋体" w:cs="宋体"/>
                <w:b/>
                <w:color w:val="FFFFFF"/>
                <w:sz w:val="18"/>
                <w:lang w:val="en-US" w:eastAsia="zh-CN"/>
              </w:rPr>
              <w:t>业务定位</w:t>
            </w:r>
          </w:p>
        </w:tc>
        <w:tc>
          <w:tcPr>
            <w:tcW w:w="0" w:type="auto"/>
            <w:shd w:val="clear" w:color="auto" w:fill="17365D"/>
            <w:tcMar>
              <w:top w:w="100" w:type="dxa"/>
              <w:left w:w="120" w:type="dxa"/>
              <w:bottom w:w="100" w:type="dxa"/>
              <w:right w:w="120" w:type="dxa"/>
            </w:tcMar>
            <w:vAlign w:val="center"/>
          </w:tcPr>
          <w:p w14:paraId="18898FC8">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重点内容</w:t>
            </w:r>
          </w:p>
        </w:tc>
      </w:tr>
      <w:tr w14:paraId="42236BF3">
        <w:trPr>
          <w:cantSplit/>
          <w:jc w:val="center"/>
        </w:trPr>
        <w:tc>
          <w:tcPr>
            <w:tcW w:w="0" w:type="auto"/>
            <w:tcMar>
              <w:top w:w="100" w:type="dxa"/>
              <w:left w:w="120" w:type="dxa"/>
              <w:bottom w:w="100" w:type="dxa"/>
              <w:right w:w="120" w:type="dxa"/>
            </w:tcMar>
            <w:vAlign w:val="center"/>
          </w:tcPr>
          <w:p w14:paraId="68A82AD4">
            <w:pPr>
              <w:spacing w:before="0" w:after="0" w:line="269" w:lineRule="auto"/>
              <w:jc w:val="center"/>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项目智拓</w:t>
            </w:r>
          </w:p>
        </w:tc>
        <w:tc>
          <w:tcPr>
            <w:tcW w:w="0" w:type="auto"/>
            <w:tcMar>
              <w:top w:w="100" w:type="dxa"/>
              <w:left w:w="120" w:type="dxa"/>
              <w:bottom w:w="100" w:type="dxa"/>
              <w:right w:w="120" w:type="dxa"/>
            </w:tcMar>
            <w:vAlign w:val="center"/>
          </w:tcPr>
          <w:p w14:paraId="6283A15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建设项目分析、能力匹配和标书编制等智能协同能力，支撑项目获取与业务承接</w:t>
            </w:r>
          </w:p>
        </w:tc>
        <w:tc>
          <w:tcPr>
            <w:tcW w:w="0" w:type="auto"/>
            <w:tcMar>
              <w:top w:w="100" w:type="dxa"/>
              <w:left w:w="120" w:type="dxa"/>
              <w:bottom w:w="100" w:type="dxa"/>
              <w:right w:w="120" w:type="dxa"/>
            </w:tcMar>
            <w:vAlign w:val="center"/>
          </w:tcPr>
          <w:p w14:paraId="552263F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项目标书分析、企业能力匹配、历史项目复用、投标文件编制、招标文件编制</w:t>
            </w:r>
          </w:p>
        </w:tc>
      </w:tr>
      <w:tr w14:paraId="1F8C4500">
        <w:trPr>
          <w:cantSplit/>
          <w:jc w:val="center"/>
        </w:trPr>
        <w:tc>
          <w:tcPr>
            <w:tcW w:w="0" w:type="auto"/>
            <w:shd w:val="clear" w:color="auto" w:fill="F5F9FC"/>
            <w:tcMar>
              <w:top w:w="100" w:type="dxa"/>
              <w:left w:w="120" w:type="dxa"/>
              <w:bottom w:w="100" w:type="dxa"/>
              <w:right w:w="120" w:type="dxa"/>
            </w:tcMar>
            <w:vAlign w:val="center"/>
          </w:tcPr>
          <w:p w14:paraId="124C9833">
            <w:pPr>
              <w:spacing w:before="0" w:after="0" w:line="269" w:lineRule="auto"/>
              <w:jc w:val="center"/>
              <w:rPr>
                <w:rFonts w:hint="default" w:ascii="宋体" w:hAnsi="宋体" w:eastAsia="宋体" w:cs="宋体"/>
                <w:color w:val="000000"/>
                <w:sz w:val="18"/>
                <w:lang w:val="en-US" w:eastAsia="zh-CN"/>
              </w:rPr>
            </w:pPr>
            <w:r>
              <w:rPr>
                <w:rFonts w:hint="eastAsia" w:ascii="宋体" w:hAnsi="宋体" w:cs="宋体"/>
                <w:color w:val="000000"/>
                <w:sz w:val="18"/>
                <w:lang w:val="en-US" w:eastAsia="zh-CN"/>
              </w:rPr>
              <w:t>委托智检</w:t>
            </w:r>
          </w:p>
        </w:tc>
        <w:tc>
          <w:tcPr>
            <w:tcW w:w="0" w:type="auto"/>
            <w:shd w:val="clear" w:color="auto" w:fill="F5F9FC"/>
            <w:tcMar>
              <w:top w:w="100" w:type="dxa"/>
              <w:left w:w="120" w:type="dxa"/>
              <w:bottom w:w="100" w:type="dxa"/>
              <w:right w:w="120" w:type="dxa"/>
            </w:tcMar>
            <w:vAlign w:val="center"/>
          </w:tcPr>
          <w:p w14:paraId="70FCA49D">
            <w:pPr>
              <w:spacing w:before="0" w:after="0" w:line="269" w:lineRule="auto"/>
              <w:jc w:val="left"/>
              <w:rPr>
                <w:rFonts w:hint="default" w:ascii="宋体" w:hAnsi="宋体" w:eastAsia="宋体" w:cs="宋体"/>
                <w:color w:val="000000"/>
                <w:sz w:val="18"/>
                <w:lang w:val="en-US"/>
              </w:rPr>
            </w:pPr>
            <w:r>
              <w:rPr>
                <w:rFonts w:hint="eastAsia" w:ascii="宋体" w:hAnsi="宋体" w:cs="宋体"/>
                <w:color w:val="000000"/>
                <w:sz w:val="18"/>
                <w:lang w:val="en-US" w:eastAsia="zh-CN"/>
              </w:rPr>
              <w:t>建设贯通委托、样品、试验、数据、报告和任务进度的全过程智能生产能力</w:t>
            </w:r>
          </w:p>
        </w:tc>
        <w:tc>
          <w:tcPr>
            <w:tcW w:w="0" w:type="auto"/>
            <w:shd w:val="clear" w:color="auto" w:fill="F5F9FC"/>
            <w:tcMar>
              <w:top w:w="100" w:type="dxa"/>
              <w:left w:w="120" w:type="dxa"/>
              <w:bottom w:w="100" w:type="dxa"/>
              <w:right w:w="120" w:type="dxa"/>
            </w:tcMar>
            <w:vAlign w:val="center"/>
          </w:tcPr>
          <w:p w14:paraId="62F7F16D">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委托任务</w:t>
            </w:r>
            <w:r>
              <w:rPr>
                <w:rFonts w:hint="eastAsia" w:ascii="宋体" w:hAnsi="宋体" w:cs="宋体"/>
                <w:color w:val="000000"/>
                <w:sz w:val="18"/>
                <w:lang w:val="en-US" w:eastAsia="zh-CN"/>
              </w:rPr>
              <w:t>登记/</w:t>
            </w:r>
            <w:r>
              <w:rPr>
                <w:rFonts w:hint="eastAsia" w:ascii="宋体" w:hAnsi="宋体" w:eastAsia="宋体" w:cs="宋体"/>
                <w:color w:val="000000"/>
                <w:sz w:val="18"/>
              </w:rPr>
              <w:t>受理、样品智能管理、数据直采自动录入、试验数据智能查询、专项检测报告智能编制、任务进度跟进</w:t>
            </w:r>
            <w:r>
              <w:rPr>
                <w:rFonts w:hint="eastAsia" w:ascii="宋体" w:hAnsi="宋体" w:cs="宋体"/>
                <w:color w:val="000000"/>
                <w:sz w:val="18"/>
                <w:lang w:val="en-US" w:eastAsia="zh-CN"/>
              </w:rPr>
              <w:t>查询</w:t>
            </w:r>
          </w:p>
        </w:tc>
      </w:tr>
      <w:tr w14:paraId="740BDE37">
        <w:trPr>
          <w:cantSplit/>
          <w:jc w:val="center"/>
        </w:trPr>
        <w:tc>
          <w:tcPr>
            <w:tcW w:w="0" w:type="auto"/>
            <w:tcMar>
              <w:top w:w="100" w:type="dxa"/>
              <w:left w:w="120" w:type="dxa"/>
              <w:bottom w:w="100" w:type="dxa"/>
              <w:right w:w="120" w:type="dxa"/>
            </w:tcMar>
            <w:vAlign w:val="center"/>
          </w:tcPr>
          <w:p w14:paraId="2ED30F39">
            <w:pPr>
              <w:spacing w:before="0" w:after="0" w:line="269" w:lineRule="auto"/>
              <w:jc w:val="center"/>
              <w:rPr>
                <w:rFonts w:hint="eastAsia" w:ascii="宋体" w:hAnsi="宋体" w:eastAsia="宋体" w:cs="宋体"/>
                <w:color w:val="000000"/>
                <w:sz w:val="18"/>
                <w:lang w:val="en-US" w:eastAsia="zh-CN"/>
              </w:rPr>
            </w:pPr>
            <w:r>
              <w:rPr>
                <w:rFonts w:hint="eastAsia" w:ascii="宋体" w:hAnsi="宋体" w:cs="宋体"/>
                <w:color w:val="000000"/>
                <w:sz w:val="18"/>
                <w:lang w:val="en-US" w:eastAsia="zh-CN"/>
              </w:rPr>
              <w:t>质量智审</w:t>
            </w:r>
          </w:p>
        </w:tc>
        <w:tc>
          <w:tcPr>
            <w:tcW w:w="0" w:type="auto"/>
            <w:tcMar>
              <w:top w:w="100" w:type="dxa"/>
              <w:left w:w="120" w:type="dxa"/>
              <w:bottom w:w="100" w:type="dxa"/>
              <w:right w:w="120" w:type="dxa"/>
            </w:tcMar>
            <w:vAlign w:val="center"/>
          </w:tcPr>
          <w:p w14:paraId="5E24AB4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建设融合规范知识与全过程检测数据的质量追溯和成果智能审查能力</w:t>
            </w:r>
          </w:p>
        </w:tc>
        <w:tc>
          <w:tcPr>
            <w:tcW w:w="0" w:type="auto"/>
            <w:tcMar>
              <w:top w:w="100" w:type="dxa"/>
              <w:left w:w="120" w:type="dxa"/>
              <w:bottom w:w="100" w:type="dxa"/>
              <w:right w:w="120" w:type="dxa"/>
            </w:tcMar>
            <w:vAlign w:val="center"/>
          </w:tcPr>
          <w:p w14:paraId="559836ED">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规范依据智能核查、检测数据智能追溯、检测结论智能生成、智能审查协同</w:t>
            </w:r>
          </w:p>
        </w:tc>
      </w:tr>
      <w:tr w14:paraId="491C997E">
        <w:trPr>
          <w:cantSplit/>
          <w:jc w:val="center"/>
        </w:trPr>
        <w:tc>
          <w:tcPr>
            <w:tcW w:w="0" w:type="auto"/>
            <w:shd w:val="clear" w:color="auto" w:fill="F5F9FC"/>
            <w:tcMar>
              <w:top w:w="100" w:type="dxa"/>
              <w:left w:w="120" w:type="dxa"/>
              <w:bottom w:w="100" w:type="dxa"/>
              <w:right w:w="120" w:type="dxa"/>
            </w:tcMar>
            <w:vAlign w:val="center"/>
          </w:tcPr>
          <w:p w14:paraId="688BE8AE">
            <w:pPr>
              <w:spacing w:before="0" w:after="0" w:line="269" w:lineRule="auto"/>
              <w:jc w:val="center"/>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资源智管</w:t>
            </w:r>
          </w:p>
        </w:tc>
        <w:tc>
          <w:tcPr>
            <w:tcW w:w="0" w:type="auto"/>
            <w:shd w:val="clear" w:color="auto" w:fill="F5F9FC"/>
            <w:tcMar>
              <w:top w:w="100" w:type="dxa"/>
              <w:left w:w="120" w:type="dxa"/>
              <w:bottom w:w="100" w:type="dxa"/>
              <w:right w:w="120" w:type="dxa"/>
            </w:tcMar>
            <w:vAlign w:val="center"/>
          </w:tcPr>
          <w:p w14:paraId="7A425D6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建设企业资质、人员、设备和检测数据的智能查询、分析及辅助</w:t>
            </w:r>
            <w:r>
              <w:rPr>
                <w:rFonts w:hint="eastAsia" w:ascii="宋体" w:hAnsi="宋体" w:cs="宋体"/>
                <w:color w:val="000000"/>
                <w:sz w:val="18"/>
                <w:lang w:val="en-US" w:eastAsia="zh-CN"/>
              </w:rPr>
              <w:t>检索</w:t>
            </w:r>
            <w:r>
              <w:rPr>
                <w:rFonts w:hint="eastAsia" w:ascii="宋体" w:hAnsi="宋体" w:eastAsia="宋体" w:cs="宋体"/>
                <w:color w:val="000000"/>
                <w:sz w:val="18"/>
              </w:rPr>
              <w:t>能力</w:t>
            </w:r>
          </w:p>
        </w:tc>
        <w:tc>
          <w:tcPr>
            <w:tcW w:w="0" w:type="auto"/>
            <w:shd w:val="clear" w:color="auto" w:fill="F5F9FC"/>
            <w:tcMar>
              <w:top w:w="100" w:type="dxa"/>
              <w:left w:w="120" w:type="dxa"/>
              <w:bottom w:w="100" w:type="dxa"/>
              <w:right w:w="120" w:type="dxa"/>
            </w:tcMar>
            <w:vAlign w:val="center"/>
          </w:tcPr>
          <w:p w14:paraId="63B432F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企业资质智管、设备资源智管、检测数据智管、资源调度</w:t>
            </w:r>
            <w:r>
              <w:rPr>
                <w:rFonts w:hint="eastAsia" w:ascii="宋体" w:hAnsi="宋体" w:cs="宋体"/>
                <w:color w:val="000000"/>
                <w:sz w:val="18"/>
                <w:lang w:val="en-US" w:eastAsia="zh-CN"/>
              </w:rPr>
              <w:t>辅助决策</w:t>
            </w:r>
          </w:p>
        </w:tc>
      </w:tr>
      <w:tr w14:paraId="579D33FF">
        <w:trPr>
          <w:cantSplit/>
          <w:jc w:val="center"/>
        </w:trPr>
        <w:tc>
          <w:tcPr>
            <w:tcW w:w="0" w:type="auto"/>
            <w:shd w:val="clear" w:color="auto" w:fill="F5F9FC"/>
            <w:tcMar>
              <w:top w:w="100" w:type="dxa"/>
              <w:left w:w="120" w:type="dxa"/>
              <w:bottom w:w="100" w:type="dxa"/>
              <w:right w:w="120" w:type="dxa"/>
            </w:tcMar>
            <w:vAlign w:val="center"/>
          </w:tcPr>
          <w:p w14:paraId="6DC0B69C">
            <w:pPr>
              <w:spacing w:before="0" w:after="0" w:line="269" w:lineRule="auto"/>
              <w:jc w:val="center"/>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安全智控</w:t>
            </w:r>
          </w:p>
        </w:tc>
        <w:tc>
          <w:tcPr>
            <w:tcW w:w="0" w:type="auto"/>
            <w:shd w:val="clear" w:color="auto" w:fill="F5F9FC"/>
            <w:tcMar>
              <w:top w:w="100" w:type="dxa"/>
              <w:left w:w="120" w:type="dxa"/>
              <w:bottom w:w="100" w:type="dxa"/>
              <w:right w:w="120" w:type="dxa"/>
            </w:tcMar>
            <w:vAlign w:val="center"/>
          </w:tcPr>
          <w:p w14:paraId="09E5CD3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建设融合安全制度、应急预案和业务数据的安全事项智能处置与跟踪能力</w:t>
            </w:r>
          </w:p>
        </w:tc>
        <w:tc>
          <w:tcPr>
            <w:tcW w:w="0" w:type="auto"/>
            <w:shd w:val="clear" w:color="auto" w:fill="F5F9FC"/>
            <w:tcMar>
              <w:top w:w="100" w:type="dxa"/>
              <w:left w:w="120" w:type="dxa"/>
              <w:bottom w:w="100" w:type="dxa"/>
              <w:right w:w="120" w:type="dxa"/>
            </w:tcMar>
            <w:vAlign w:val="center"/>
          </w:tcPr>
          <w:p w14:paraId="34A23B1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安全事件智能处置、应急预案智能辅助、基建报修智能管理、危化品智能管理</w:t>
            </w:r>
          </w:p>
        </w:tc>
      </w:tr>
      <w:tr w14:paraId="72B216E4">
        <w:trPr>
          <w:cantSplit/>
          <w:jc w:val="center"/>
        </w:trPr>
        <w:tc>
          <w:tcPr>
            <w:tcW w:w="0" w:type="auto"/>
            <w:shd w:val="clear" w:color="auto" w:fill="F5F9FC"/>
            <w:tcMar>
              <w:top w:w="100" w:type="dxa"/>
              <w:left w:w="120" w:type="dxa"/>
              <w:bottom w:w="100" w:type="dxa"/>
              <w:right w:w="120" w:type="dxa"/>
            </w:tcMar>
            <w:vAlign w:val="center"/>
          </w:tcPr>
          <w:p w14:paraId="33D8FDDA">
            <w:pPr>
              <w:spacing w:before="0" w:after="0" w:line="269" w:lineRule="auto"/>
              <w:jc w:val="center"/>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管理智辅</w:t>
            </w:r>
          </w:p>
        </w:tc>
        <w:tc>
          <w:tcPr>
            <w:tcW w:w="0" w:type="auto"/>
            <w:shd w:val="clear" w:color="auto" w:fill="F5F9FC"/>
            <w:tcMar>
              <w:top w:w="100" w:type="dxa"/>
              <w:left w:w="120" w:type="dxa"/>
              <w:bottom w:w="100" w:type="dxa"/>
              <w:right w:w="120" w:type="dxa"/>
            </w:tcMar>
            <w:vAlign w:val="center"/>
          </w:tcPr>
          <w:p w14:paraId="30EA377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建设跨业务数据汇聚、全局查询、综合分析和任务智能督办能力</w:t>
            </w:r>
          </w:p>
        </w:tc>
        <w:tc>
          <w:tcPr>
            <w:tcW w:w="0" w:type="auto"/>
            <w:shd w:val="clear" w:color="auto" w:fill="F5F9FC"/>
            <w:tcMar>
              <w:top w:w="100" w:type="dxa"/>
              <w:left w:w="120" w:type="dxa"/>
              <w:bottom w:w="100" w:type="dxa"/>
              <w:right w:w="120" w:type="dxa"/>
            </w:tcMar>
            <w:vAlign w:val="center"/>
          </w:tcPr>
          <w:p w14:paraId="570173A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试验室全局智问、报表报告智能整理、任务智能督办</w:t>
            </w:r>
          </w:p>
        </w:tc>
      </w:tr>
    </w:tbl>
    <w:p w14:paraId="266DF633">
      <w:pPr>
        <w:spacing w:after="40"/>
        <w:rPr>
          <w:rFonts w:hint="eastAsia" w:ascii="宋体" w:hAnsi="宋体" w:eastAsia="宋体" w:cs="宋体"/>
        </w:rPr>
      </w:pPr>
    </w:p>
    <w:p w14:paraId="0810609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六大业务线不是相互独立的功能模块，而是形成“一条主营业务</w:t>
      </w:r>
      <w:r>
        <w:rPr>
          <w:rFonts w:hint="eastAsia" w:ascii="宋体" w:hAnsi="宋体" w:cs="宋体"/>
          <w:snapToGrid w:val="0"/>
          <w:color w:val="000000"/>
          <w:sz w:val="24"/>
          <w:szCs w:val="24"/>
          <w:lang w:val="en-US" w:eastAsia="zh-CN" w:bidi="ar-SA"/>
        </w:rPr>
        <w:t>线</w:t>
      </w:r>
      <w:r>
        <w:rPr>
          <w:rFonts w:hint="eastAsia" w:ascii="宋体" w:hAnsi="宋体" w:eastAsia="宋体" w:cs="宋体"/>
          <w:snapToGrid w:val="0"/>
          <w:color w:val="000000"/>
          <w:sz w:val="24"/>
          <w:szCs w:val="24"/>
          <w:lang w:val="en-US" w:eastAsia="zh-CN" w:bidi="ar-SA"/>
        </w:rPr>
        <w:t>、两类业务保障</w:t>
      </w:r>
      <w:r>
        <w:rPr>
          <w:rFonts w:hint="eastAsia" w:ascii="宋体" w:hAnsi="宋体" w:cs="宋体"/>
          <w:snapToGrid w:val="0"/>
          <w:color w:val="000000"/>
          <w:sz w:val="24"/>
          <w:szCs w:val="24"/>
          <w:lang w:val="en-US" w:eastAsia="zh-CN" w:bidi="ar-SA"/>
        </w:rPr>
        <w:t>体系</w:t>
      </w:r>
      <w:r>
        <w:rPr>
          <w:rFonts w:hint="eastAsia" w:ascii="宋体" w:hAnsi="宋体" w:eastAsia="宋体" w:cs="宋体"/>
          <w:snapToGrid w:val="0"/>
          <w:color w:val="000000"/>
          <w:sz w:val="24"/>
          <w:szCs w:val="24"/>
          <w:lang w:val="en-US" w:eastAsia="zh-CN" w:bidi="ar-SA"/>
        </w:rPr>
        <w:t>、一个管理统筹</w:t>
      </w:r>
      <w:r>
        <w:rPr>
          <w:rFonts w:hint="eastAsia" w:ascii="宋体" w:hAnsi="宋体" w:cs="宋体"/>
          <w:snapToGrid w:val="0"/>
          <w:color w:val="000000"/>
          <w:sz w:val="24"/>
          <w:szCs w:val="24"/>
          <w:lang w:val="en-US" w:eastAsia="zh-CN" w:bidi="ar-SA"/>
        </w:rPr>
        <w:t>模式</w:t>
      </w:r>
      <w:r>
        <w:rPr>
          <w:rFonts w:hint="eastAsia" w:ascii="宋体" w:hAnsi="宋体" w:eastAsia="宋体" w:cs="宋体"/>
          <w:snapToGrid w:val="0"/>
          <w:color w:val="000000"/>
          <w:sz w:val="24"/>
          <w:szCs w:val="24"/>
          <w:lang w:val="en-US" w:eastAsia="zh-CN" w:bidi="ar-SA"/>
        </w:rPr>
        <w:t>”的业务关系：</w:t>
      </w:r>
    </w:p>
    <w:p w14:paraId="5482F7DE">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0" w:hanging="420" w:firstLineChars="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主营业务</w:t>
      </w:r>
      <w:r>
        <w:rPr>
          <w:rFonts w:hint="eastAsia" w:ascii="宋体" w:hAnsi="宋体" w:cs="宋体"/>
          <w:b/>
          <w:bCs/>
          <w:snapToGrid w:val="0"/>
          <w:color w:val="000000"/>
          <w:sz w:val="24"/>
          <w:szCs w:val="24"/>
          <w:lang w:val="en-US" w:eastAsia="zh-CN" w:bidi="ar-SA"/>
        </w:rPr>
        <w:t>线</w:t>
      </w:r>
      <w:r>
        <w:rPr>
          <w:rFonts w:hint="eastAsia" w:ascii="宋体" w:hAnsi="宋体" w:eastAsia="宋体" w:cs="宋体"/>
          <w:b/>
          <w:bCs/>
          <w:snapToGrid w:val="0"/>
          <w:color w:val="000000"/>
          <w:sz w:val="24"/>
          <w:szCs w:val="24"/>
          <w:lang w:val="en-US" w:eastAsia="zh-CN" w:bidi="ar-SA"/>
        </w:rPr>
        <w:t>：</w:t>
      </w:r>
      <w:r>
        <w:rPr>
          <w:rFonts w:hint="eastAsia" w:ascii="宋体" w:hAnsi="宋体" w:eastAsia="宋体" w:cs="宋体"/>
          <w:snapToGrid w:val="0"/>
          <w:color w:val="000000"/>
          <w:sz w:val="24"/>
          <w:szCs w:val="24"/>
          <w:u w:val="single"/>
          <w:lang w:val="en-US" w:eastAsia="zh-CN" w:bidi="ar-SA"/>
        </w:rPr>
        <w:t>项目智拓 → 检测智产 → 质量智审</w:t>
      </w:r>
      <w:r>
        <w:rPr>
          <w:rFonts w:hint="eastAsia" w:ascii="宋体" w:hAnsi="宋体" w:eastAsia="宋体" w:cs="宋体"/>
          <w:snapToGrid w:val="0"/>
          <w:color w:val="000000"/>
          <w:sz w:val="24"/>
          <w:szCs w:val="24"/>
          <w:lang w:val="en-US" w:eastAsia="zh-CN" w:bidi="ar-SA"/>
        </w:rPr>
        <w:t>，贯通项目获取、检测实施和成果质量控制。</w:t>
      </w:r>
    </w:p>
    <w:p w14:paraId="3489E939">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0" w:hanging="420" w:firstLineChars="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b/>
          <w:bCs/>
          <w:snapToGrid w:val="0"/>
          <w:color w:val="000000"/>
          <w:sz w:val="24"/>
          <w:szCs w:val="24"/>
          <w:lang w:val="en-US" w:eastAsia="zh-CN" w:bidi="ar-SA"/>
        </w:rPr>
        <w:t>业务保障体系：</w:t>
      </w:r>
      <w:r>
        <w:rPr>
          <w:rFonts w:hint="eastAsia" w:ascii="宋体" w:hAnsi="宋体" w:eastAsia="宋体" w:cs="宋体"/>
          <w:snapToGrid w:val="0"/>
          <w:color w:val="000000"/>
          <w:sz w:val="24"/>
          <w:szCs w:val="24"/>
          <w:u w:val="single"/>
          <w:lang w:val="en-US" w:eastAsia="zh-CN" w:bidi="ar-SA"/>
        </w:rPr>
        <w:t>资源智管</w:t>
      </w:r>
      <w:r>
        <w:rPr>
          <w:rFonts w:hint="eastAsia" w:ascii="宋体" w:hAnsi="宋体" w:eastAsia="宋体" w:cs="宋体"/>
          <w:snapToGrid w:val="0"/>
          <w:color w:val="000000"/>
          <w:sz w:val="24"/>
          <w:szCs w:val="24"/>
          <w:lang w:val="en-US" w:eastAsia="zh-CN" w:bidi="ar-SA"/>
        </w:rPr>
        <w:t>与</w:t>
      </w:r>
      <w:r>
        <w:rPr>
          <w:rFonts w:hint="eastAsia" w:ascii="宋体" w:hAnsi="宋体" w:eastAsia="宋体" w:cs="宋体"/>
          <w:snapToGrid w:val="0"/>
          <w:color w:val="000000"/>
          <w:sz w:val="24"/>
          <w:szCs w:val="24"/>
          <w:u w:val="single"/>
          <w:lang w:val="en-US" w:eastAsia="zh-CN" w:bidi="ar-SA"/>
        </w:rPr>
        <w:t>安全智控</w:t>
      </w:r>
      <w:r>
        <w:rPr>
          <w:rFonts w:hint="eastAsia" w:ascii="宋体" w:hAnsi="宋体" w:eastAsia="宋体" w:cs="宋体"/>
          <w:snapToGrid w:val="0"/>
          <w:color w:val="000000"/>
          <w:sz w:val="24"/>
          <w:szCs w:val="24"/>
          <w:lang w:val="en-US" w:eastAsia="zh-CN" w:bidi="ar-SA"/>
        </w:rPr>
        <w:t>分别提供企业能力、检测资源和安全管理保障。</w:t>
      </w:r>
    </w:p>
    <w:p w14:paraId="4B3B2EE6">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0" w:hanging="420" w:firstLineChars="0"/>
        <w:jc w:val="left"/>
        <w:textAlignment w:val="auto"/>
        <w:rPr>
          <w:rFonts w:hint="eastAsia" w:ascii="宋体" w:hAnsi="宋体" w:cs="宋体"/>
          <w:b/>
          <w:snapToGrid w:val="0"/>
          <w:color w:val="000000"/>
          <w:sz w:val="28"/>
          <w:szCs w:val="28"/>
          <w:lang w:val="en-US" w:eastAsia="zh-CN" w:bidi="ar-SA"/>
        </w:rPr>
      </w:pPr>
      <w:r>
        <w:rPr>
          <w:rFonts w:hint="eastAsia" w:ascii="宋体" w:hAnsi="宋体" w:eastAsia="宋体" w:cs="宋体"/>
          <w:b/>
          <w:bCs/>
          <w:snapToGrid w:val="0"/>
          <w:color w:val="000000"/>
          <w:sz w:val="24"/>
          <w:szCs w:val="24"/>
          <w:lang w:val="en-US" w:eastAsia="zh-CN" w:bidi="ar-SA"/>
        </w:rPr>
        <w:t>管理统筹</w:t>
      </w:r>
      <w:r>
        <w:rPr>
          <w:rFonts w:hint="eastAsia" w:ascii="宋体" w:hAnsi="宋体" w:cs="宋体"/>
          <w:b/>
          <w:bCs/>
          <w:snapToGrid w:val="0"/>
          <w:color w:val="000000"/>
          <w:sz w:val="24"/>
          <w:szCs w:val="24"/>
          <w:lang w:val="en-US" w:eastAsia="zh-CN" w:bidi="ar-SA"/>
        </w:rPr>
        <w:t>模式</w:t>
      </w:r>
      <w:r>
        <w:rPr>
          <w:rFonts w:hint="eastAsia" w:ascii="宋体" w:hAnsi="宋体" w:eastAsia="宋体" w:cs="宋体"/>
          <w:b/>
          <w:bCs/>
          <w:snapToGrid w:val="0"/>
          <w:color w:val="000000"/>
          <w:sz w:val="24"/>
          <w:szCs w:val="24"/>
          <w:lang w:val="en-US" w:eastAsia="zh-CN" w:bidi="ar-SA"/>
        </w:rPr>
        <w:t>：</w:t>
      </w:r>
      <w:r>
        <w:rPr>
          <w:rFonts w:hint="eastAsia" w:ascii="宋体" w:hAnsi="宋体" w:eastAsia="宋体" w:cs="宋体"/>
          <w:snapToGrid w:val="0"/>
          <w:color w:val="000000"/>
          <w:sz w:val="24"/>
          <w:szCs w:val="24"/>
          <w:u w:val="single"/>
          <w:lang w:val="en-US" w:eastAsia="zh-CN" w:bidi="ar-SA"/>
        </w:rPr>
        <w:t>管理智辅</w:t>
      </w:r>
      <w:r>
        <w:rPr>
          <w:rFonts w:hint="eastAsia" w:ascii="宋体" w:hAnsi="宋体" w:eastAsia="宋体" w:cs="宋体"/>
          <w:snapToGrid w:val="0"/>
          <w:color w:val="000000"/>
          <w:sz w:val="24"/>
          <w:szCs w:val="24"/>
          <w:lang w:val="en-US" w:eastAsia="zh-CN" w:bidi="ar-SA"/>
        </w:rPr>
        <w:t>从管理视角对项目、任务、资源、质量和安全等信息进行综合汇聚和统筹。</w:t>
      </w:r>
    </w:p>
    <w:p w14:paraId="1DADF1FB">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eastAsia="宋体"/>
          <w:lang w:val="en-US" w:eastAsia="zh-CN"/>
        </w:rPr>
      </w:pPr>
      <w:bookmarkStart w:id="11" w:name="_Toc186867476"/>
      <w:r>
        <w:rPr>
          <w:rFonts w:hint="eastAsia" w:ascii="宋体" w:hAnsi="宋体" w:cs="宋体"/>
          <w:b/>
          <w:snapToGrid w:val="0"/>
          <w:color w:val="000000"/>
          <w:sz w:val="28"/>
          <w:szCs w:val="28"/>
          <w:lang w:val="en-US" w:eastAsia="zh-CN" w:bidi="ar-SA"/>
        </w:rPr>
        <w:t>2.2</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技术架构</w:t>
      </w:r>
      <w:bookmarkEnd w:id="11"/>
    </w:p>
    <w:p w14:paraId="4AA7809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项目技术架构围绕“业务应用—智能编排—模型能力—算力调度—基础资源”形成分层支撑体系。</w:t>
      </w:r>
    </w:p>
    <w:p w14:paraId="5878200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整个体系形成如下支撑关系：</w:t>
      </w:r>
    </w:p>
    <w:p w14:paraId="16513DB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本地算力资源提供计算基础，智能算力调度平台负责算力监测与调度，大模型提供基础智能能力，智能体集群管理中枢负责业务任务组织与能力编排，六大业务线最终形成面向实际试验检测工作的智能应用。</w:t>
      </w:r>
    </w:p>
    <w:p w14:paraId="6AA35847">
      <w:pPr>
        <w:bidi w:val="0"/>
        <w:rPr>
          <w:rFonts w:hint="eastAsia"/>
          <w:lang w:val="en-US" w:eastAsia="zh-CN"/>
        </w:rPr>
      </w:pPr>
      <w:r>
        <w:rPr>
          <w:rFonts w:hint="eastAsia"/>
          <w:lang w:val="en-US" w:eastAsia="zh-CN"/>
        </w:rPr>
        <w:drawing>
          <wp:inline distT="0" distB="0" distL="114300" distR="114300">
            <wp:extent cx="5266055" cy="2963545"/>
            <wp:effectExtent l="0" t="0" r="17145" b="8255"/>
            <wp:docPr id="3" name="图片 3" descr="Frame 161887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rame 1618874223"/>
                    <pic:cNvPicPr>
                      <a:picLocks noChangeAspect="1"/>
                    </pic:cNvPicPr>
                  </pic:nvPicPr>
                  <pic:blipFill>
                    <a:blip r:embed="rId7"/>
                    <a:stretch>
                      <a:fillRect/>
                    </a:stretch>
                  </pic:blipFill>
                  <pic:spPr>
                    <a:xfrm>
                      <a:off x="0" y="0"/>
                      <a:ext cx="5266055" cy="2963545"/>
                    </a:xfrm>
                    <a:prstGeom prst="rect">
                      <a:avLst/>
                    </a:prstGeom>
                  </pic:spPr>
                </pic:pic>
              </a:graphicData>
            </a:graphic>
          </wp:inline>
        </w:drawing>
      </w:r>
    </w:p>
    <w:p w14:paraId="199B0986">
      <w:pPr>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br w:type="page"/>
      </w:r>
    </w:p>
    <w:p w14:paraId="77AD3165">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cs="宋体"/>
          <w:b/>
          <w:snapToGrid w:val="0"/>
          <w:color w:val="000000"/>
          <w:sz w:val="28"/>
          <w:szCs w:val="28"/>
          <w:lang w:val="en-US" w:eastAsia="zh-CN" w:bidi="ar-SA"/>
        </w:rPr>
      </w:pPr>
      <w:bookmarkStart w:id="12" w:name="_Toc1060577218"/>
      <w:r>
        <w:rPr>
          <w:rFonts w:hint="eastAsia" w:ascii="宋体" w:hAnsi="宋体" w:cs="宋体"/>
          <w:b/>
          <w:snapToGrid w:val="0"/>
          <w:color w:val="000000"/>
          <w:sz w:val="28"/>
          <w:szCs w:val="28"/>
          <w:lang w:val="en-US" w:eastAsia="zh-CN" w:bidi="ar-SA"/>
        </w:rPr>
        <w:t>三</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建设内容</w:t>
      </w:r>
      <w:bookmarkEnd w:id="12"/>
    </w:p>
    <w:p w14:paraId="70ED6EAF">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cs="宋体"/>
          <w:b/>
          <w:snapToGrid w:val="0"/>
          <w:color w:val="000000"/>
          <w:sz w:val="28"/>
          <w:szCs w:val="28"/>
          <w:lang w:val="en-US" w:eastAsia="zh-CN" w:bidi="ar-SA"/>
        </w:rPr>
      </w:pPr>
      <w:bookmarkStart w:id="13" w:name="_Toc1007032826"/>
      <w:r>
        <w:rPr>
          <w:rFonts w:hint="eastAsia" w:ascii="宋体" w:hAnsi="宋体" w:cs="宋体"/>
          <w:b/>
          <w:snapToGrid w:val="0"/>
          <w:color w:val="000000"/>
          <w:sz w:val="28"/>
          <w:szCs w:val="28"/>
          <w:lang w:val="en-US" w:eastAsia="zh-CN" w:bidi="ar-SA"/>
        </w:rPr>
        <w:t>3.1</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试验室智能化建设</w:t>
      </w:r>
      <w:bookmarkEnd w:id="13"/>
      <w:r>
        <w:rPr>
          <w:rFonts w:hint="eastAsia" w:ascii="宋体" w:hAnsi="宋体" w:cs="宋体"/>
          <w:b/>
          <w:snapToGrid w:val="0"/>
          <w:color w:val="000000"/>
          <w:sz w:val="28"/>
          <w:szCs w:val="28"/>
          <w:lang w:val="en-US" w:eastAsia="zh-CN" w:bidi="ar-SA"/>
        </w:rPr>
        <w:t>（业务功能）</w:t>
      </w:r>
    </w:p>
    <w:p w14:paraId="3B2F869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本期试验室智能化建设不以零散智能功能建设为主要目标，而是围绕试验检测机构实际业务链条，对前期形成的大模型、知识库、智能体、业务系统和设备接入能力进行深化应用。通过六大业务线，将人工智能能力逐步嵌入项目获取、委托受理、样品管理、试验检测、成果编制、质量审查、资源保障、安全管理和综合管理等业务过程，形成面向业务全过程的智能化应用体系。</w:t>
      </w:r>
    </w:p>
    <w:p w14:paraId="3A83A25B">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14" w:name="_Toc882084575"/>
      <w:r>
        <w:rPr>
          <w:rFonts w:hint="eastAsia" w:ascii="宋体" w:hAnsi="宋体" w:cs="宋体"/>
          <w:b/>
          <w:snapToGrid w:val="0"/>
          <w:color w:val="000000"/>
          <w:sz w:val="24"/>
          <w:szCs w:val="24"/>
          <w:lang w:val="en-US" w:eastAsia="zh-CN" w:bidi="ar-SA"/>
        </w:rPr>
        <w:t>3.1.1项目智拓——构建项目/业务承接智能协同体系</w:t>
      </w:r>
      <w:bookmarkEnd w:id="14"/>
    </w:p>
    <w:p w14:paraId="1FC3BB8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项目智拓主要服务市场研发、技术管理及项目负责人等岗位，围绕外部项目投标和本单位项目招标两类业务场景，将企业资质能力、人员设备资源、历史项目经验与当前项目需求进行关联，提升项目分析、能力匹配和标书编制效率。</w:t>
      </w:r>
    </w:p>
    <w:p w14:paraId="46939896">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（1）项目文件/标书智能分析</w:t>
      </w:r>
    </w:p>
    <w:p w14:paraId="3760E9D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针对外部招标文件、技术规范、合同条件、评分办法等资料进行综合分析，提取项目基本信息、检测服务范围、资格条件、人员要求、设备要求、技术要求、成果要求以及评分重点等关键信息。</w:t>
      </w:r>
    </w:p>
    <w:p w14:paraId="7E3E0AE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针对篇幅较长、专业内容较多的招标文件，可按照检测专业和业务事项形成结构化分析结果，辅助市场及技术人员快速掌握项目重点，并形成后续企业能力匹配和投标文件编制的基础。</w:t>
      </w:r>
    </w:p>
    <w:p w14:paraId="1BF9612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业务效益：实现招标文件重点信息的快速提取和分类呈现，帮助业务人员缩短前期阅读与整理时间，降低关键资格条件、技术要求和评分要点遗漏的风险，为项目研判和投标决策提供清晰依据。</w:t>
      </w:r>
    </w:p>
    <w:p w14:paraId="0F2E7E75">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（2）试验室资质/能力智能梳理</w:t>
      </w:r>
    </w:p>
    <w:p w14:paraId="4D8409E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以企业资质、检测能力、人员证书、仪器设备、历史业绩等企业资源为基础，与当前招标文件要求进行逐项匹配。</w:t>
      </w:r>
    </w:p>
    <w:p w14:paraId="1FAEC2C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项目所要求的资质条件、检测参数、专业人员和仪器设备，辅助识别“已满足、部分满足、需进一步确认”等情况，并关联推荐可用于项目的人员、设备和相关证明材料。该能力与资源智管中的企业资质管理形成业务联动，实现企业能力数据“一处维护、多处调用”。</w:t>
      </w:r>
    </w:p>
    <w:p w14:paraId="4DB3724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w:t>
      </w:r>
      <w:r>
        <w:rPr>
          <w:rFonts w:hint="eastAsia" w:ascii="宋体" w:hAnsi="宋体" w:eastAsia="宋体" w:cs="宋体"/>
          <w:snapToGrid w:val="0"/>
          <w:color w:val="000000"/>
          <w:sz w:val="24"/>
          <w:szCs w:val="24"/>
          <w:lang w:val="en-US" w:eastAsia="zh-CN" w:bidi="ar-SA"/>
        </w:rPr>
        <w:t>实现招标要求与企业现有能力的快速比对，使业务人员能够及时判断项目承接条件、识别能力缺口并准备证明材料，提高项目筛选和投标准备的准确性。</w:t>
      </w:r>
    </w:p>
    <w:p w14:paraId="3437A5EC">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（3）历史项目智能复用</w:t>
      </w:r>
    </w:p>
    <w:p w14:paraId="0F12D83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针对当前项目特征，从历史项目资料中检索相似项目、既往投标文件、技术方案、人员设备配置和项目成果，形成可供当前项目参考的历史经验。</w:t>
      </w:r>
    </w:p>
    <w:p w14:paraId="29D9E0A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通过建立“当前项目—历史项目—技术方案—企业业绩”之间的关联，降低同类项目资料重复查找和重复编制的工作量。</w:t>
      </w:r>
    </w:p>
    <w:p w14:paraId="0D7C8EC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业务效益：实现相似项目、技术方案和既有成果的快速查找与复用，将分散的历史资料转化为可持续使用的项目经验，减少重复整理，提高同类项目方案编制的一致性。</w:t>
      </w:r>
    </w:p>
    <w:p w14:paraId="6CA64809">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（4）投标文件智能编制</w:t>
      </w:r>
    </w:p>
    <w:p w14:paraId="0946D2B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综合项目标书分析、企业能力匹配和历史项目经验，辅助编制技术方案、项目组织、人员设备配置、检测实施方案、进度安排以及质量安全保障措施等投标文件内容。</w:t>
      </w:r>
    </w:p>
    <w:p w14:paraId="1E89571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系统形成投标文件初稿后，由市场、技术及项目负责人进行审核、修改和确认。人工智能主要承担资料整理和内容辅助编制，不替代企业正式投标决策及审核程序。</w:t>
      </w:r>
    </w:p>
    <w:p w14:paraId="625B0F7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业务效益：实现投标资料、企业能力和历史经验的协同组织，快速形成结构完整的投标文件初稿，使业务人员将工作重点转向技术方案完善、项目响应核对和最终审核确认。</w:t>
      </w:r>
    </w:p>
    <w:p w14:paraId="626AB11A">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（5）招标文件智能编制</w:t>
      </w:r>
    </w:p>
    <w:p w14:paraId="3F43ED7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针对本单位需要组织外部服务或专业项目招标的业务场景，根据项目基本情况、服务范围和技术要求，辅助形成</w:t>
      </w:r>
      <w:r>
        <w:rPr>
          <w:rFonts w:hint="eastAsia" w:ascii="宋体" w:hAnsi="宋体" w:eastAsia="宋体" w:cs="宋体"/>
          <w:snapToGrid w:val="0"/>
          <w:color w:val="000000"/>
          <w:sz w:val="24"/>
          <w:szCs w:val="24"/>
          <w:lang w:val="en-US" w:eastAsia="zh-CN" w:bidi="ar-SA"/>
        </w:rPr>
        <w:t>项目概述</w:t>
      </w:r>
      <w:r>
        <w:rPr>
          <w:rFonts w:hint="default" w:ascii="宋体" w:hAnsi="宋体" w:eastAsia="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服务范围、</w:t>
      </w:r>
      <w:r>
        <w:rPr>
          <w:rFonts w:hint="default" w:ascii="宋体" w:hAnsi="宋体" w:eastAsia="宋体" w:cs="宋体"/>
          <w:snapToGrid w:val="0"/>
          <w:color w:val="000000"/>
          <w:sz w:val="24"/>
          <w:szCs w:val="24"/>
          <w:lang w:val="en-US" w:eastAsia="zh-CN" w:bidi="ar-SA"/>
        </w:rPr>
        <w:t>人员设备要求、技术服务要求、成果交付要求等招标文件内容，提高项目招标资料编制的规范性和效率。</w:t>
      </w:r>
    </w:p>
    <w:p w14:paraId="64430823">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15" w:name="_Toc1115836784"/>
      <w:r>
        <w:rPr>
          <w:rFonts w:hint="eastAsia" w:ascii="宋体" w:hAnsi="宋体" w:cs="宋体"/>
          <w:b/>
          <w:snapToGrid w:val="0"/>
          <w:color w:val="000000"/>
          <w:sz w:val="24"/>
          <w:szCs w:val="24"/>
          <w:lang w:val="en-US" w:eastAsia="zh-CN" w:bidi="ar-SA"/>
        </w:rPr>
        <w:t>3.1.2委托智检——构建委托至成果交付全过程智能生产体系</w:t>
      </w:r>
      <w:bookmarkEnd w:id="15"/>
    </w:p>
    <w:p w14:paraId="73DF47C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检测智产是本期试验室智能化建设的核心业务线，以检测委托为起点，进一步贯通样品、试验、设备数据、检测结果、专项报告和任务进度，实现检测生产过程的智能协同。在充分复用现有任务系统、计算规则、OCR识别和常规报告生成能力的基础上，重点向样品全过程管理、设备数据直采、专项成果编制和全过程任务跟进延伸。</w:t>
      </w:r>
    </w:p>
    <w:p w14:paraId="14DD7F35">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（1）委托任务智能受理/登记</w:t>
      </w:r>
    </w:p>
    <w:p w14:paraId="321ABE8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建立内部业务资料识别和外部线上委托两类受理方式。</w:t>
      </w:r>
    </w:p>
    <w:p w14:paraId="66861CE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针对内部项目，可从项目合同、项目资料及相关业务文件中识别项目名称、检测内容、检测参数、样品信息等关键内容，并与现有委托登记字段进行对应，辅助形成</w:t>
      </w:r>
      <w:r>
        <w:rPr>
          <w:rFonts w:hint="eastAsia" w:ascii="宋体" w:hAnsi="宋体" w:cs="宋体"/>
          <w:snapToGrid w:val="0"/>
          <w:color w:val="000000"/>
          <w:sz w:val="24"/>
          <w:szCs w:val="24"/>
          <w:lang w:val="en-US" w:eastAsia="zh-CN" w:bidi="ar-SA"/>
        </w:rPr>
        <w:t>委托任务表单</w:t>
      </w:r>
      <w:r>
        <w:rPr>
          <w:rFonts w:hint="eastAsia" w:ascii="宋体" w:hAnsi="宋体" w:eastAsia="宋体" w:cs="宋体"/>
          <w:snapToGrid w:val="0"/>
          <w:color w:val="000000"/>
          <w:sz w:val="24"/>
          <w:szCs w:val="24"/>
          <w:lang w:val="en-US" w:eastAsia="zh-CN" w:bidi="ar-SA"/>
        </w:rPr>
        <w:t>，经业务人员确认后</w:t>
      </w:r>
      <w:r>
        <w:rPr>
          <w:rFonts w:hint="eastAsia" w:ascii="宋体" w:hAnsi="宋体" w:cs="宋体"/>
          <w:snapToGrid w:val="0"/>
          <w:color w:val="000000"/>
          <w:sz w:val="24"/>
          <w:szCs w:val="24"/>
          <w:lang w:val="en-US" w:eastAsia="zh-CN" w:bidi="ar-SA"/>
        </w:rPr>
        <w:t>保存至“委托登记”模块</w:t>
      </w:r>
      <w:r>
        <w:rPr>
          <w:rFonts w:hint="eastAsia" w:ascii="宋体" w:hAnsi="宋体" w:eastAsia="宋体" w:cs="宋体"/>
          <w:snapToGrid w:val="0"/>
          <w:color w:val="000000"/>
          <w:sz w:val="24"/>
          <w:szCs w:val="24"/>
          <w:lang w:val="en-US" w:eastAsia="zh-CN" w:bidi="ar-SA"/>
        </w:rPr>
        <w:t>。</w:t>
      </w:r>
    </w:p>
    <w:p w14:paraId="6F33012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面向外部委托单位，可建设微信小程序等线上服务入口，由委托单位远程填写项目、委托单位、检测项目、样品及联系人等信息，检测单位完成审核受理后形成正式委托，实现线上线下一体化委托服务。</w:t>
      </w:r>
    </w:p>
    <w:p w14:paraId="6E2576B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业务效益：实现内部资料辅助登记和外部客户远程申请，减少委托信息重复填写及线下往返，使受理人员能够基于结构化申请资料开展审核，并将确认后的信息直接衔接正式委托流程。</w:t>
      </w:r>
    </w:p>
    <w:p w14:paraId="25F022D4">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（2）样品流转全周期追踪</w:t>
      </w:r>
    </w:p>
    <w:p w14:paraId="3247A2D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围绕检测样品建立与项目、委托任务、检测项目和检测报告之间的关联关系，对样品从进入试验室到最终处置的全过程进行管理。</w:t>
      </w:r>
    </w:p>
    <w:p w14:paraId="0559D9A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形成“收样 → 暂存 → 领用 → 试验 → 留样 → 处置”全过程流转机制，记录样品当前状态、存放位置、责任人员、流转时间和关联检测任务，并可结合</w:t>
      </w:r>
      <w:r>
        <w:rPr>
          <w:rFonts w:hint="eastAsia" w:ascii="宋体" w:hAnsi="宋体" w:cs="宋体"/>
          <w:snapToGrid w:val="0"/>
          <w:color w:val="000000"/>
          <w:sz w:val="24"/>
          <w:szCs w:val="24"/>
          <w:lang w:val="en-US" w:eastAsia="zh-CN" w:bidi="ar-SA"/>
        </w:rPr>
        <w:t>现有的样品标签</w:t>
      </w:r>
      <w:r>
        <w:rPr>
          <w:rFonts w:hint="eastAsia" w:ascii="宋体" w:hAnsi="宋体" w:eastAsia="宋体" w:cs="宋体"/>
          <w:snapToGrid w:val="0"/>
          <w:color w:val="000000"/>
          <w:sz w:val="24"/>
          <w:szCs w:val="24"/>
          <w:lang w:val="en-US" w:eastAsia="zh-CN" w:bidi="ar-SA"/>
        </w:rPr>
        <w:t>辅助开展样品身份识别和流转登记。</w:t>
      </w:r>
    </w:p>
    <w:p w14:paraId="0121935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混凝土试块等具有明确龄期要求的样品，重点建设试块龄期管理能力。根据成型时间、收样时间、检测项目及相应试验要求形成龄期计划，对即将到龄、当日到龄、已到龄未试验和已完成试验的试块进行分类管理。</w:t>
      </w:r>
    </w:p>
    <w:p w14:paraId="626B569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形成“成型/收样 → 龄期计算 → 到期提醒 → 试验安排 → 完成确认”业务流程。业务人员可</w:t>
      </w:r>
      <w:r>
        <w:rPr>
          <w:rFonts w:hint="eastAsia" w:ascii="宋体" w:hAnsi="宋体" w:cs="宋体"/>
          <w:snapToGrid w:val="0"/>
          <w:color w:val="000000"/>
          <w:sz w:val="24"/>
          <w:szCs w:val="24"/>
          <w:lang w:val="en-US" w:eastAsia="zh-CN" w:bidi="ar-SA"/>
        </w:rPr>
        <w:t>通过模型对话，</w:t>
      </w:r>
      <w:r>
        <w:rPr>
          <w:rFonts w:hint="eastAsia" w:ascii="宋体" w:hAnsi="宋体" w:eastAsia="宋体" w:cs="宋体"/>
          <w:snapToGrid w:val="0"/>
          <w:color w:val="000000"/>
          <w:sz w:val="24"/>
          <w:szCs w:val="24"/>
          <w:lang w:val="en-US" w:eastAsia="zh-CN" w:bidi="ar-SA"/>
        </w:rPr>
        <w:t>直接查询“明日到龄试块”“本周28天龄期试块”“已经到龄但尚未完成试验的试块”等信息，实现试块龄期与检测任务之间的协同管理。</w:t>
      </w:r>
    </w:p>
    <w:p w14:paraId="79F8AF3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在条件允许的情况下，可进一步探索同场地样品机器人运输</w:t>
      </w:r>
      <w:r>
        <w:rPr>
          <w:rFonts w:hint="eastAsia" w:ascii="宋体" w:hAnsi="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跨场地样品无人机运输。其中，无人机运输应结合当地低空空域、运行管理及实际运输条件开展。</w:t>
      </w:r>
    </w:p>
    <w:p w14:paraId="2C427FC0">
      <w:pPr>
        <w:bidi w:val="0"/>
        <w:rPr>
          <w:rFonts w:hint="eastAsia"/>
          <w:lang w:val="en-US" w:eastAsia="zh-CN"/>
        </w:rPr>
      </w:pPr>
      <w:r>
        <w:drawing>
          <wp:inline distT="0" distB="0" distL="114300" distR="114300">
            <wp:extent cx="5267325" cy="1879600"/>
            <wp:effectExtent l="0" t="0" r="15875"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5267325" cy="1879600"/>
                    </a:xfrm>
                    <a:prstGeom prst="rect">
                      <a:avLst/>
                    </a:prstGeom>
                    <a:noFill/>
                    <a:ln>
                      <a:noFill/>
                    </a:ln>
                  </pic:spPr>
                </pic:pic>
              </a:graphicData>
            </a:graphic>
          </wp:inline>
        </w:drawing>
      </w:r>
    </w:p>
    <w:p w14:paraId="79A50A9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业务效益：实现样品身份、位置、状态、责任人员和检测任务的全过程关联，方便业务人员及时掌握样品流转及试块龄期情况，降低样品错拿、漏检、超期试验和流转记录缺失的风险。</w:t>
      </w:r>
    </w:p>
    <w:p w14:paraId="5305470E">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（3）数据直采自动录入</w:t>
      </w:r>
    </w:p>
    <w:p w14:paraId="1D75B3A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进一步扩大检测设备数据接入范围，将室内试验设备、外业检测设备以及无人机产生的数据</w:t>
      </w:r>
      <w:r>
        <w:rPr>
          <w:rFonts w:hint="eastAsia" w:ascii="宋体" w:hAnsi="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与项目、委托和试验任务建立关联。</w:t>
      </w:r>
    </w:p>
    <w:p w14:paraId="5D47B1B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针对具备数据接口条件的试验设备，可将设备产生的原始试验数据直接关联至对应检测任务，并自动进入任务系统数据录入环节，减少人工二次录入。</w:t>
      </w:r>
    </w:p>
    <w:p w14:paraId="09EFC2F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针对桥梁、隧道等</w:t>
      </w:r>
      <w:r>
        <w:rPr>
          <w:rFonts w:hint="eastAsia" w:ascii="宋体" w:hAnsi="宋体" w:cs="宋体"/>
          <w:snapToGrid w:val="0"/>
          <w:color w:val="000000"/>
          <w:sz w:val="24"/>
          <w:szCs w:val="24"/>
          <w:lang w:val="en-US" w:eastAsia="zh-CN" w:bidi="ar-SA"/>
        </w:rPr>
        <w:t>现场</w:t>
      </w:r>
      <w:r>
        <w:rPr>
          <w:rFonts w:hint="eastAsia" w:ascii="宋体" w:hAnsi="宋体" w:eastAsia="宋体" w:cs="宋体"/>
          <w:snapToGrid w:val="0"/>
          <w:color w:val="000000"/>
          <w:sz w:val="24"/>
          <w:szCs w:val="24"/>
          <w:lang w:val="en-US" w:eastAsia="zh-CN" w:bidi="ar-SA"/>
        </w:rPr>
        <w:t>检测，可逐步接入现场检测设备和无人机采集的图片、视频等</w:t>
      </w:r>
      <w:r>
        <w:rPr>
          <w:rFonts w:hint="eastAsia" w:ascii="宋体" w:hAnsi="宋体" w:cs="宋体"/>
          <w:snapToGrid w:val="0"/>
          <w:color w:val="000000"/>
          <w:sz w:val="24"/>
          <w:szCs w:val="24"/>
          <w:lang w:val="en-US" w:eastAsia="zh-CN" w:bidi="ar-SA"/>
        </w:rPr>
        <w:t>数据</w:t>
      </w:r>
      <w:r>
        <w:rPr>
          <w:rFonts w:hint="eastAsia" w:ascii="宋体" w:hAnsi="宋体" w:eastAsia="宋体" w:cs="宋体"/>
          <w:snapToGrid w:val="0"/>
          <w:color w:val="000000"/>
          <w:sz w:val="24"/>
          <w:szCs w:val="24"/>
          <w:lang w:val="en-US" w:eastAsia="zh-CN" w:bidi="ar-SA"/>
        </w:rPr>
        <w:t>，为后续专项检测成果整理和报告编制提供数据基础。</w:t>
      </w:r>
    </w:p>
    <w:p w14:paraId="5843E36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业务效益：实现设备原始数据与检测任务的自动关联和录入，减少人工抄录、转填和核对工作，降低数据录入差错，并为检测数据追溯和专项成果编制保留可靠的数据来源。</w:t>
      </w:r>
    </w:p>
    <w:p w14:paraId="251453D3">
      <w:pPr>
        <w:bidi w:val="0"/>
      </w:pPr>
      <w:r>
        <w:drawing>
          <wp:inline distT="0" distB="0" distL="114300" distR="114300">
            <wp:extent cx="5255260" cy="1470660"/>
            <wp:effectExtent l="0" t="0" r="2540" b="2540"/>
            <wp:docPr id="7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0"/>
                    <pic:cNvPicPr>
                      <a:picLocks noChangeAspect="1"/>
                    </pic:cNvPicPr>
                  </pic:nvPicPr>
                  <pic:blipFill>
                    <a:blip r:embed="rId9"/>
                    <a:stretch>
                      <a:fillRect/>
                    </a:stretch>
                  </pic:blipFill>
                  <pic:spPr>
                    <a:xfrm>
                      <a:off x="0" y="0"/>
                      <a:ext cx="5255260" cy="1470660"/>
                    </a:xfrm>
                    <a:prstGeom prst="rect">
                      <a:avLst/>
                    </a:prstGeom>
                    <a:noFill/>
                    <a:ln>
                      <a:noFill/>
                    </a:ln>
                  </pic:spPr>
                </pic:pic>
              </a:graphicData>
            </a:graphic>
          </wp:inline>
        </w:drawing>
      </w:r>
    </w:p>
    <w:p w14:paraId="4D38B261">
      <w:pPr>
        <w:bidi w:val="0"/>
        <w:rPr>
          <w:rFonts w:hint="eastAsia"/>
          <w:lang w:val="en-US" w:eastAsia="zh-CN"/>
        </w:rPr>
      </w:pPr>
    </w:p>
    <w:p w14:paraId="5B2369CC">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（4）试验数据智能查询</w:t>
      </w:r>
    </w:p>
    <w:p w14:paraId="620C176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依托现有任务系统和设备数据，提供面向业务人员的自然语言查询能力。业务人员可按照项目、委托、设备、检测项目、检测时间等条件直接查询检测数据，例如查询某项目全部检测任务、某台设备当日试验数据、某项委托的数据录入情况等。</w:t>
      </w:r>
    </w:p>
    <w:p w14:paraId="4D3691E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该场景重点解决“数据快速查找和业务关联”问题，现有任务系统已经配置的检测计算公式继续沿用，不重复建设人工智能计算能力。</w:t>
      </w:r>
    </w:p>
    <w:p w14:paraId="1243025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业务效益：实现按项目、委托、设备、检测项目和时间等条件快速查询试验数据，使业务人员无需逐层进入不同页面查找信息，提高数据获取、任务核对和问题定位效率。</w:t>
      </w:r>
    </w:p>
    <w:p w14:paraId="25298D6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（5）专项检测报告智能编制</w:t>
      </w:r>
    </w:p>
    <w:p w14:paraId="67748DA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在二期常规检测报告自动生成的基础上，将报告智能化进一步延伸至桥梁检测报告、隧道检测报告、配合比设计报告、专项检测报告、阶段报告和验收报告等结构复杂、资料来源较多的专业成果。</w:t>
      </w:r>
    </w:p>
    <w:p w14:paraId="5E7D52E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根据项目资料、现场检测资料、试验数据、历史报告和报告模板，辅助完成报告结构组织、正文编制、表格图表整理以及Word报告初稿生成。报告初稿仍由专业检测人员和审核人员按照现行质量管理程序进行审核确认。</w:t>
      </w:r>
    </w:p>
    <w:p w14:paraId="2F9A6FA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业务效益：实现多来源资料的集中调用、报告模板的规范套用以及正文、表格和图表的协同生成，缩短复杂专业报告初稿的编制周期，提升报告结构和表达的一致性，并保留专业人员审核确认环节。</w:t>
      </w:r>
    </w:p>
    <w:p w14:paraId="29B936C3">
      <w:pPr>
        <w:bidi w:val="0"/>
        <w:rPr>
          <w:rFonts w:hint="eastAsia"/>
          <w:lang w:val="en-US" w:eastAsia="zh-CN"/>
        </w:rPr>
      </w:pPr>
      <w:r>
        <w:drawing>
          <wp:inline distT="0" distB="0" distL="114300" distR="114300">
            <wp:extent cx="5253355" cy="1467485"/>
            <wp:effectExtent l="0" t="0" r="4445" b="57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0"/>
                    <a:stretch>
                      <a:fillRect/>
                    </a:stretch>
                  </pic:blipFill>
                  <pic:spPr>
                    <a:xfrm>
                      <a:off x="0" y="0"/>
                      <a:ext cx="5253355" cy="1467485"/>
                    </a:xfrm>
                    <a:prstGeom prst="rect">
                      <a:avLst/>
                    </a:prstGeom>
                    <a:noFill/>
                    <a:ln>
                      <a:noFill/>
                    </a:ln>
                  </pic:spPr>
                </pic:pic>
              </a:graphicData>
            </a:graphic>
          </wp:inline>
        </w:drawing>
      </w:r>
    </w:p>
    <w:p w14:paraId="1FBC192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（6）任务进度全周期跟进</w:t>
      </w:r>
    </w:p>
    <w:p w14:paraId="533F71F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基于委托任务、样品状态、试验进度、数据录入和报告状态，对检测任务全过程进行跟踪。</w:t>
      </w:r>
    </w:p>
    <w:p w14:paraId="21045C0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按照岗位和权限形成个人待办任务、当日工作事项和异常任务提醒，并支持查询“今日待完成试验”“已超期任务”“尚未形成报告的项目”“已经完成全部检测流程的委托”等业务信息。</w:t>
      </w:r>
    </w:p>
    <w:p w14:paraId="18867E8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通过任务跟进能力，使检测任务由人员主动查找逐步转向系统主动提醒和按需查询。</w:t>
      </w:r>
    </w:p>
    <w:p w14:paraId="3C9A9A4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业务效益：实现个人待办、临期事项、超期任务和报告状态的集中呈现及主动提醒，帮助检测人员明确当日工作重点，便于管理人员及时发现滞后环节并开展协调督办。</w:t>
      </w:r>
    </w:p>
    <w:p w14:paraId="2DD10C03">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16" w:name="_Toc2041623084"/>
      <w:r>
        <w:rPr>
          <w:rFonts w:hint="eastAsia" w:ascii="宋体" w:hAnsi="宋体" w:cs="宋体"/>
          <w:b/>
          <w:snapToGrid w:val="0"/>
          <w:color w:val="000000"/>
          <w:sz w:val="24"/>
          <w:szCs w:val="24"/>
          <w:lang w:val="en-US" w:eastAsia="zh-CN" w:bidi="ar-SA"/>
        </w:rPr>
        <w:t>3.1.3质量智审——构建检测数据全链追溯与成果智能审查体系</w:t>
      </w:r>
      <w:bookmarkEnd w:id="16"/>
    </w:p>
    <w:p w14:paraId="4DA29C4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质量智审围绕试验检测成果的规范性、完整性和可追溯性开展建设，重点强化检测依据、原始记录、设备数据、系统数据和检测报告之间的业务关联，使质量审核由单一报告检查逐步向检测全过程质量追溯延伸。</w:t>
      </w:r>
    </w:p>
    <w:p w14:paraId="64D96FD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（1）规范依据智能核查</w:t>
      </w:r>
    </w:p>
    <w:p w14:paraId="10B609A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在检测报告编制、审核和批准等环节，对检测依据、判定依据、标准版本和适用范围进行辅助核查。</w:t>
      </w:r>
    </w:p>
    <w:p w14:paraId="7752E69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结合当前委托和项目资料，对报告中的项目名称、委托信息、检测项目及相关依据进行一致性检查，对存在疑问或不一致的内容进行提示，并提供相应依据供审核人员复核。</w:t>
      </w:r>
    </w:p>
    <w:p w14:paraId="48A371F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业务效益：实现检测依据、判定依据和标准版本的辅助核对，帮助编制及审核人员及时发现依据错用、版本不符和适用范围不一致等问题，提升报告引用依据的准确性和规范性。</w:t>
      </w:r>
    </w:p>
    <w:p w14:paraId="4AA66F44">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（2）检测数据智能追溯</w:t>
      </w:r>
    </w:p>
    <w:p w14:paraId="04696F6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建立“委托信息 → 纸质原始记录 → 设备原始数据 → 任务系统数据 → 检测报告 → 检测结论”全过程数据关联。</w:t>
      </w:r>
    </w:p>
    <w:p w14:paraId="57A800F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p>
    <w:p w14:paraId="216487D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针对行业要求保留的手写纸质原始记录，继续保留原有业务方式，在扫描上传后利用已有OCR能力完成识别和归档，并进一步开展填写完整性、数据一致性和关联关系检查。</w:t>
      </w:r>
    </w:p>
    <w:p w14:paraId="2251984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当检测报告中的数据存在疑问时，可向前追溯至任务系统、设备采集数据及纸质原始记录，提高质量审核和问题定位效率。</w:t>
      </w:r>
    </w:p>
    <w:p w14:paraId="564B1CF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业务效益：实现检测结论向委托信息、原始记录、设备数据和系统数据的逐级追溯，使审核人员能够快速定位差异来源，增强检测成果的可核查性和质量问题处置能力。</w:t>
      </w:r>
    </w:p>
    <w:p w14:paraId="32C0F390">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（3）检测结论智能生成</w:t>
      </w:r>
    </w:p>
    <w:p w14:paraId="1A21DBE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结合委托信息、检测数据、判定依据和既有标准化结论表达方式，辅助生成检测结论初稿。</w:t>
      </w:r>
    </w:p>
    <w:p w14:paraId="3685846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针对常见检测项目，可建立规范化结论模板和常用表述，由智能体根据当前检测结果进行匹配和组织，最终由检测及审核人员确认。</w:t>
      </w:r>
    </w:p>
    <w:p w14:paraId="6AB176E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业务效益：实现检测数据、判定依据与规范化结论表达的关联，辅助形成内容完整、表述统一的结论初稿，减少重复编写工作，同时确保最终结论仍由专业人员审核确认。</w:t>
      </w:r>
    </w:p>
    <w:p w14:paraId="6044FEA7">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（4）智能审查协同</w:t>
      </w:r>
    </w:p>
    <w:p w14:paraId="11E1663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针对报告审核过程中发现的问题，形成“问题识别—依据定位—修改建议—人工确认—内容修改—再次核查”的协同机制。</w:t>
      </w:r>
    </w:p>
    <w:p w14:paraId="6A1DBF1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对于报告中的文字、数据、表格和版式问题，可通过自然语言提出修改要求，辅助完成相应内容调整，再由审核人员进行确认，实现人工审核与智能辅助相结合。</w:t>
      </w:r>
    </w:p>
    <w:p w14:paraId="549FE71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业务效益：实现报告问题、依据位置、修改建议和复核结果的闭环协同，减少编制人员与审核人员之间的反复沟通，使问题处理过程更清晰、修改结果更易核验。</w:t>
      </w:r>
    </w:p>
    <w:p w14:paraId="520ED38D">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17" w:name="_Toc1065461022"/>
      <w:r>
        <w:rPr>
          <w:rFonts w:hint="eastAsia" w:ascii="宋体" w:hAnsi="宋体" w:cs="宋体"/>
          <w:b/>
          <w:snapToGrid w:val="0"/>
          <w:color w:val="000000"/>
          <w:sz w:val="24"/>
          <w:szCs w:val="24"/>
          <w:lang w:val="en-US" w:eastAsia="zh-CN" w:bidi="ar-SA"/>
        </w:rPr>
        <w:t>3.1.4资产智管——构建企业能力与检测资产智能管理体系</w:t>
      </w:r>
      <w:bookmarkEnd w:id="17"/>
    </w:p>
    <w:p w14:paraId="23576DF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资源智管以支撑检测业务持续开展为目标，将企业资质、人员能力、仪器设备、检测数据和相关业务资源进行统一管理和关联使用，推动资源管理由基础台账管理向业务联动、智能查询和辅助调度延伸。</w:t>
      </w:r>
    </w:p>
    <w:p w14:paraId="343A51B6">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（1）企业资质智管</w:t>
      </w:r>
    </w:p>
    <w:p w14:paraId="47A6D48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统一归集企业资质、检测能力、人员证书、仪器设备资料、企业业绩和相关证明材料，形成企业能力资料库</w:t>
      </w:r>
      <w:r>
        <w:rPr>
          <w:rFonts w:hint="eastAsia" w:ascii="宋体" w:hAnsi="宋体" w:cs="宋体"/>
          <w:snapToGrid w:val="0"/>
          <w:color w:val="000000"/>
          <w:sz w:val="24"/>
          <w:szCs w:val="24"/>
          <w:lang w:val="en-US" w:eastAsia="zh-CN" w:bidi="ar-SA"/>
        </w:rPr>
        <w:t>（企业云盘）</w:t>
      </w:r>
      <w:r>
        <w:rPr>
          <w:rFonts w:hint="eastAsia" w:ascii="宋体" w:hAnsi="宋体" w:eastAsia="宋体" w:cs="宋体"/>
          <w:snapToGrid w:val="0"/>
          <w:color w:val="000000"/>
          <w:sz w:val="24"/>
          <w:szCs w:val="24"/>
          <w:lang w:val="en-US" w:eastAsia="zh-CN" w:bidi="ar-SA"/>
        </w:rPr>
        <w:t>。</w:t>
      </w:r>
    </w:p>
    <w:p w14:paraId="00AD4D0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按照岗位和权限开展资料维护、查询和调用，为项目智拓中的企业能力匹配、投标资料准备等场景提供统一数据来源。</w:t>
      </w:r>
    </w:p>
    <w:p w14:paraId="131612E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业务效益：实现企业资质、人员证书、检测能力、设备资料和业绩材料的统一归集与按需调用，减少投标和项目准备阶段的资料查找工作，并为企业能力匹配提供可靠依据。</w:t>
      </w:r>
    </w:p>
    <w:p w14:paraId="59A61727">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（2）设备资源智管</w:t>
      </w:r>
    </w:p>
    <w:p w14:paraId="07F93CB9">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对室内试验设备、外业检测设备以及无人机等检测装备进行统一管理，覆盖设备基本信息、使用状态、使用记录、检定校准、维修保养和停用等信息。</w:t>
      </w:r>
    </w:p>
    <w:p w14:paraId="6FB4FF2A">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支持按照自然语言交互方式，查询设备使用台账、即将到期的检定设备、设备当前状态及设备使用情况，并在权限允许范围内辅助完成设备状态和管理信息维护，根据设备管理员需求生成设备台账、使用台账等文件。</w:t>
      </w:r>
    </w:p>
    <w:p w14:paraId="6E59CDB3">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业务效益：实现设备状态、使用记录、检定校准和维修保养信息的快速查询与关联分析，帮助管理人员提前发现到期、停用和资源冲突等情况，保障检测设备处于可用、受控状态。</w:t>
      </w:r>
    </w:p>
    <w:p w14:paraId="0ADC75D3">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（3）检测数据智管</w:t>
      </w:r>
    </w:p>
    <w:p w14:paraId="1492D003">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以项目为主线，对委托任务、检测数据和检测报告进行统一关联，逐步形成可按项目、时间、检测类型等维度查询的检测业务数据资源。</w:t>
      </w:r>
    </w:p>
    <w:p w14:paraId="7133F431">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支持查询项目全部委托和报告、年度委托数量、检测业务完成情况等信息，并辅助形成年度检测业务台账和统计材料。</w:t>
      </w:r>
    </w:p>
    <w:p w14:paraId="05443A44">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业务效益：实现项目、委托、检测数据和报告成果的统一关联和年度查询，减少人工汇总业务台账和统计材料的工作量，为业务分析和历史成果复用提供连续数据基础。</w:t>
      </w:r>
    </w:p>
    <w:p w14:paraId="0291BB3C">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（4）资源调度辅助决策</w:t>
      </w:r>
    </w:p>
    <w:p w14:paraId="4515468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结合项目计划、检测任务、设备可用状态以及相关材料库存，对资源使用情况进行综合分析。</w:t>
      </w:r>
    </w:p>
    <w:p w14:paraId="7614697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当多个项目存在设备使用时间冲突时，可结合任务计划和项目优先级形成</w:t>
      </w:r>
      <w:r>
        <w:rPr>
          <w:rFonts w:hint="eastAsia" w:ascii="宋体" w:hAnsi="宋体" w:cs="宋体"/>
          <w:snapToGrid w:val="0"/>
          <w:color w:val="000000"/>
          <w:sz w:val="24"/>
          <w:szCs w:val="24"/>
          <w:lang w:val="en-US" w:eastAsia="zh-CN" w:bidi="ar-SA"/>
        </w:rPr>
        <w:t>排期</w:t>
      </w:r>
      <w:r>
        <w:rPr>
          <w:rFonts w:hint="eastAsia" w:ascii="宋体" w:hAnsi="宋体" w:eastAsia="宋体" w:cs="宋体"/>
          <w:snapToGrid w:val="0"/>
          <w:color w:val="000000"/>
          <w:sz w:val="24"/>
          <w:szCs w:val="24"/>
          <w:lang w:val="en-US" w:eastAsia="zh-CN" w:bidi="ar-SA"/>
        </w:rPr>
        <w:t>建议；针对试验</w:t>
      </w:r>
      <w:r>
        <w:rPr>
          <w:rFonts w:hint="eastAsia" w:ascii="宋体" w:hAnsi="宋体" w:cs="宋体"/>
          <w:snapToGrid w:val="0"/>
          <w:color w:val="000000"/>
          <w:sz w:val="24"/>
          <w:szCs w:val="24"/>
          <w:lang w:val="en-US" w:eastAsia="zh-CN" w:bidi="ar-SA"/>
        </w:rPr>
        <w:t>原</w:t>
      </w:r>
      <w:r>
        <w:rPr>
          <w:rFonts w:hint="eastAsia" w:ascii="宋体" w:hAnsi="宋体" w:eastAsia="宋体" w:cs="宋体"/>
          <w:snapToGrid w:val="0"/>
          <w:color w:val="000000"/>
          <w:sz w:val="24"/>
          <w:szCs w:val="24"/>
          <w:lang w:val="en-US" w:eastAsia="zh-CN" w:bidi="ar-SA"/>
        </w:rPr>
        <w:t>材料及危化品等资源，可根据库存和近期检测任务形成补充需求提示，为人工排期和采购计划提供参考。</w:t>
      </w:r>
    </w:p>
    <w:p w14:paraId="0D54F2C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业务效益：实现项目计划、检测任务、设备状态和物资库存的综合分析，提前识别资源冲突和补充需求，为人员排期、设备安排和物资准备提供辅助依据，提高资源使用的协调性。</w:t>
      </w:r>
    </w:p>
    <w:p w14:paraId="51C9ECA3">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18" w:name="_Toc1484748068"/>
      <w:r>
        <w:rPr>
          <w:rFonts w:hint="eastAsia" w:ascii="宋体" w:hAnsi="宋体" w:cs="宋体"/>
          <w:b/>
          <w:snapToGrid w:val="0"/>
          <w:color w:val="000000"/>
          <w:sz w:val="24"/>
          <w:szCs w:val="24"/>
          <w:lang w:val="en-US" w:eastAsia="zh-CN" w:bidi="ar-SA"/>
        </w:rPr>
        <w:t>3.1.5安全智控——构建试验室安全管理智能协同体系</w:t>
      </w:r>
      <w:bookmarkEnd w:id="18"/>
    </w:p>
    <w:p w14:paraId="6F98362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安全智控以安全管理部门日常业务为重点，不替代现有安全制度、现场管理和人工应急处置，而是通过信息整理、预案查询、事项跟踪和危化品管理等方式，提高安全管理信息获取和业务协同效率。</w:t>
      </w:r>
    </w:p>
    <w:p w14:paraId="6F7EA851">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（1）安全事件智能处置</w:t>
      </w:r>
    </w:p>
    <w:p w14:paraId="0C6E67C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针对安全事件、隐患排查和现场反馈信息进行统一整理，辅助识别事件类别、涉及区域、责任事项和处理要求，并形成事件记录或处置材料初稿。</w:t>
      </w:r>
    </w:p>
    <w:p w14:paraId="13D786F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安全管理人员根据实际情况确定处置措施和责任安排，系统负责信息归集和后续事项跟踪。</w:t>
      </w:r>
    </w:p>
    <w:p w14:paraId="7B6E0AB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业务效益：实现安全事件和隐患信息的统一记录、分类整理及处理过程跟踪，帮助安全管理人员快速形成处置事项，明确责任和进度，避免问题记录分散或整改过程失去跟踪。</w:t>
      </w:r>
    </w:p>
    <w:p w14:paraId="03EC3440">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（2）应急预案智能辅助</w:t>
      </w:r>
    </w:p>
    <w:p w14:paraId="7CB7619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统一归集火灾、设备事故、人员伤害、极端天气等相关应急预案和管理制度。</w:t>
      </w:r>
    </w:p>
    <w:p w14:paraId="04C8FF3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发生相关事件时，可根据事件类型快速检索对应预案、处置流程、联系人、报告要求和相关材料，为安全管理人员提供及时、准确的信息支持。</w:t>
      </w:r>
    </w:p>
    <w:p w14:paraId="74EA111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业务效益：实现应急场景与适用预案、处置流程和联系信息的快速匹配，减少紧急情况下人工翻查资料的时间，为安全人员有序开展</w:t>
      </w:r>
      <w:r>
        <w:rPr>
          <w:rFonts w:hint="eastAsia" w:ascii="宋体" w:hAnsi="宋体" w:cs="宋体"/>
          <w:snapToGrid w:val="0"/>
          <w:color w:val="000000"/>
          <w:sz w:val="24"/>
          <w:szCs w:val="24"/>
          <w:lang w:val="en-US" w:eastAsia="zh-CN" w:bidi="ar-SA"/>
        </w:rPr>
        <w:t>前期</w:t>
      </w:r>
      <w:r>
        <w:rPr>
          <w:rFonts w:hint="eastAsia" w:ascii="宋体" w:hAnsi="宋体" w:eastAsia="宋体" w:cs="宋体"/>
          <w:snapToGrid w:val="0"/>
          <w:color w:val="000000"/>
          <w:sz w:val="24"/>
          <w:szCs w:val="24"/>
          <w:lang w:val="en-US" w:eastAsia="zh-CN" w:bidi="ar-SA"/>
        </w:rPr>
        <w:t>处置和信息上报提供支持。</w:t>
      </w:r>
    </w:p>
    <w:p w14:paraId="4129E9D0">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（3）危化品智能管理</w:t>
      </w:r>
    </w:p>
    <w:p w14:paraId="49B7DFC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在二期已有危化品管理</w:t>
      </w:r>
      <w:r>
        <w:rPr>
          <w:rFonts w:hint="eastAsia" w:ascii="宋体" w:hAnsi="宋体" w:cs="宋体"/>
          <w:snapToGrid w:val="0"/>
          <w:color w:val="000000"/>
          <w:sz w:val="24"/>
          <w:szCs w:val="24"/>
          <w:lang w:val="en-US" w:eastAsia="zh-CN" w:bidi="ar-SA"/>
        </w:rPr>
        <w:t>功能的</w:t>
      </w:r>
      <w:r>
        <w:rPr>
          <w:rFonts w:hint="eastAsia" w:ascii="宋体" w:hAnsi="宋体" w:eastAsia="宋体" w:cs="宋体"/>
          <w:snapToGrid w:val="0"/>
          <w:color w:val="000000"/>
          <w:sz w:val="24"/>
          <w:szCs w:val="24"/>
          <w:lang w:val="en-US" w:eastAsia="zh-CN" w:bidi="ar-SA"/>
        </w:rPr>
        <w:t>基础上进一步开展智能化提升，不重复建设危化品基础管理模块。</w:t>
      </w:r>
    </w:p>
    <w:p w14:paraId="06F5DEA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围绕入库、盘库、领用、使用、库存和台账等现有业务，增加自然语言库存查询、领用情况统计、台账自动整理、库存阈值提醒和使用情况分析等能力，实现由危化品“线上管理”向“智能辅助管理”延伸。</w:t>
      </w:r>
    </w:p>
    <w:p w14:paraId="17338FA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业务效益：实现危化品库存、领用记录和使用情况的快速查询及异常提醒，减少人工统计台账的工作量，帮助管理人员及时掌握库存变化和补充需求，提升危化品日常管理的规范性。</w:t>
      </w:r>
    </w:p>
    <w:p w14:paraId="4D3D6FC2">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（4）基建报修智能管理</w:t>
      </w:r>
    </w:p>
    <w:p w14:paraId="6FCC40E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面向试验室和办公区域的漏水、电气故障、空调故障、设施损坏等基础设施问题，建立便捷的问题上报和处理机制。</w:t>
      </w:r>
    </w:p>
    <w:p w14:paraId="0D97D57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用户可通过自然语言描述故障情况，系统辅助形成报修</w:t>
      </w:r>
      <w:r>
        <w:rPr>
          <w:rFonts w:hint="eastAsia" w:ascii="宋体" w:hAnsi="宋体" w:cs="宋体"/>
          <w:snapToGrid w:val="0"/>
          <w:color w:val="000000"/>
          <w:sz w:val="24"/>
          <w:szCs w:val="24"/>
          <w:lang w:val="en-US" w:eastAsia="zh-CN" w:bidi="ar-SA"/>
        </w:rPr>
        <w:t>工单</w:t>
      </w:r>
      <w:r>
        <w:rPr>
          <w:rFonts w:hint="eastAsia" w:ascii="宋体" w:hAnsi="宋体" w:eastAsia="宋体" w:cs="宋体"/>
          <w:snapToGrid w:val="0"/>
          <w:color w:val="000000"/>
          <w:sz w:val="24"/>
          <w:szCs w:val="24"/>
          <w:lang w:val="en-US" w:eastAsia="zh-CN" w:bidi="ar-SA"/>
        </w:rPr>
        <w:t>，并关联问题类型、责任部门、处理状态和完成时间，实现报修事项全过程跟踪。</w:t>
      </w:r>
    </w:p>
    <w:p w14:paraId="2E0CFCA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业务效益：实现基础设施问题的便捷上报、自动分类和处理状态跟踪，使报修责任、办理进度和完成结果清晰可查，减少口头报修造成的信息遗漏和重复沟通。</w:t>
      </w:r>
    </w:p>
    <w:p w14:paraId="5961EBF4">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19" w:name="_Toc400800736"/>
      <w:r>
        <w:rPr>
          <w:rFonts w:hint="eastAsia" w:ascii="宋体" w:hAnsi="宋体" w:cs="宋体"/>
          <w:b/>
          <w:snapToGrid w:val="0"/>
          <w:color w:val="000000"/>
          <w:sz w:val="24"/>
          <w:szCs w:val="24"/>
          <w:lang w:val="en-US" w:eastAsia="zh-CN" w:bidi="ar-SA"/>
        </w:rPr>
        <w:t>3.1.6管理智辅——构建试验室运行管理智能辅助体系</w:t>
      </w:r>
      <w:bookmarkEnd w:id="19"/>
    </w:p>
    <w:p w14:paraId="7F382A4E">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管理智辅面向公司及试验室管理人员，围绕业务运行情况掌握、经营管理材料整理和重点任务督办，将分散在不同业务环节的数据转化为可查询、可统计、</w:t>
      </w:r>
      <w:r>
        <w:rPr>
          <w:rFonts w:hint="eastAsia"/>
          <w:lang w:val="en-US" w:eastAsia="zh-CN"/>
        </w:rPr>
        <w:t>可视化、</w:t>
      </w:r>
      <w:r>
        <w:rPr>
          <w:rFonts w:hint="default"/>
          <w:lang w:val="en-US" w:eastAsia="zh-CN"/>
        </w:rPr>
        <w:t>可跟踪的管理信息，提高管理层掌握整体运行情况和推动重点工作的效率。</w:t>
      </w:r>
    </w:p>
    <w:p w14:paraId="756B092B">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（1）试验室全局智问</w:t>
      </w:r>
    </w:p>
    <w:p w14:paraId="097E617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整合项目、委托、试验、样品、设备、报告等业务信息，为管理人员提供统一的自然语言查询入口。</w:t>
      </w:r>
    </w:p>
    <w:p w14:paraId="0ABA0AE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可查询本月委托数量、各类检测项目数量、当前未完成任务、项目进度、报告完成情况、设备使用情况等信息，并根据需要以表格、柱状图、趋势图等</w:t>
      </w:r>
      <w:r>
        <w:rPr>
          <w:rFonts w:hint="eastAsia" w:ascii="宋体" w:hAnsi="宋体" w:cs="宋体"/>
          <w:snapToGrid w:val="0"/>
          <w:color w:val="000000"/>
          <w:sz w:val="24"/>
          <w:szCs w:val="24"/>
          <w:lang w:val="en-US" w:eastAsia="zh-CN" w:bidi="ar-SA"/>
        </w:rPr>
        <w:t>可视化图表的</w:t>
      </w:r>
      <w:r>
        <w:rPr>
          <w:rFonts w:hint="eastAsia" w:ascii="宋体" w:hAnsi="宋体" w:eastAsia="宋体" w:cs="宋体"/>
          <w:snapToGrid w:val="0"/>
          <w:color w:val="000000"/>
          <w:sz w:val="24"/>
          <w:szCs w:val="24"/>
          <w:lang w:val="en-US" w:eastAsia="zh-CN" w:bidi="ar-SA"/>
        </w:rPr>
        <w:t>方式呈现。</w:t>
      </w:r>
    </w:p>
    <w:p w14:paraId="3A5C90C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业务效益：实现管理人员通过自然语言快速获取跨业务环节的运行信息，并以表格和图表直观呈现重点情况，减少逐个系统查询和人工汇总，提高整体运行情况的掌握效率。</w:t>
      </w:r>
    </w:p>
    <w:p w14:paraId="3F611EC7">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b/>
          <w:snapToGrid w:val="0"/>
          <w:color w:val="000000"/>
          <w:sz w:val="24"/>
          <w:szCs w:val="24"/>
          <w:lang w:val="en-US" w:eastAsia="zh-CN" w:bidi="ar-SA"/>
        </w:rPr>
      </w:pPr>
      <w:r>
        <w:rPr>
          <w:rFonts w:hint="eastAsia" w:ascii="宋体" w:hAnsi="宋体" w:eastAsia="宋体" w:cs="宋体"/>
          <w:b/>
          <w:snapToGrid w:val="0"/>
          <w:color w:val="000000"/>
          <w:sz w:val="24"/>
          <w:szCs w:val="24"/>
          <w:lang w:val="en-US" w:eastAsia="zh-CN" w:bidi="ar-SA"/>
        </w:rPr>
        <w:t>（2）报表/报告智能整理</w:t>
      </w:r>
    </w:p>
    <w:p w14:paraId="553AD11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基于业务系统已有数据，辅助形成季度、年度检测业务统计、项目阶段报告、年度总结、检测业务分析等管理材料。</w:t>
      </w:r>
    </w:p>
    <w:p w14:paraId="7DE9A9B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通过减少人工跨系统统计、复制和整理数据的工作量，提高管理材料编制效率，同时保留人工审核和正式发布流程。</w:t>
      </w:r>
    </w:p>
    <w:p w14:paraId="035E9D8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业务效益：实现业务数据自动汇集、统计口径统一和管理材料辅助生成，减少重复复制、核对和排版工作，使管理人员能够将精力集中于经营分析、问题研判和内容审核。</w:t>
      </w:r>
    </w:p>
    <w:p w14:paraId="3F9F045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（3）任务智能督办</w:t>
      </w:r>
    </w:p>
    <w:p w14:paraId="04B2C84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基于委托、检测、报告等业务流程记录，对任务进度、责任人员、当前环节和计划时间进行综合分析。</w:t>
      </w:r>
    </w:p>
    <w:p w14:paraId="3203C59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对延期、临近节点或长期未推进事项形成督办清单，并支持管理人员查询重点项目和异常任务，实现从“人工逐项询问”向“系统汇总、重点关注”转变。</w:t>
      </w:r>
    </w:p>
    <w:p w14:paraId="25F9B47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业务效益：实现重点项目、临期任务和异常事项的自动识别与集中督办，帮助管理人员及时掌握责任人、当前环节和处理进度</w:t>
      </w:r>
      <w:r>
        <w:rPr>
          <w:rFonts w:hint="eastAsia" w:ascii="宋体" w:hAnsi="宋体" w:cs="宋体"/>
          <w:snapToGrid w:val="0"/>
          <w:color w:val="000000"/>
          <w:sz w:val="24"/>
          <w:szCs w:val="24"/>
          <w:lang w:val="en-US" w:eastAsia="zh-CN" w:bidi="ar-SA"/>
        </w:rPr>
        <w:t>等信息</w:t>
      </w:r>
      <w:r>
        <w:rPr>
          <w:rFonts w:hint="eastAsia" w:ascii="宋体" w:hAnsi="宋体" w:eastAsia="宋体" w:cs="宋体"/>
          <w:snapToGrid w:val="0"/>
          <w:color w:val="000000"/>
          <w:sz w:val="24"/>
          <w:szCs w:val="24"/>
          <w:lang w:val="en-US" w:eastAsia="zh-CN" w:bidi="ar-SA"/>
        </w:rPr>
        <w:t>，</w:t>
      </w:r>
      <w:r>
        <w:rPr>
          <w:rFonts w:hint="eastAsia" w:ascii="宋体" w:hAnsi="宋体" w:cs="宋体"/>
          <w:snapToGrid w:val="0"/>
          <w:color w:val="000000"/>
          <w:sz w:val="24"/>
          <w:szCs w:val="24"/>
          <w:lang w:val="en-US" w:eastAsia="zh-CN" w:bidi="ar-SA"/>
        </w:rPr>
        <w:t>形成</w:t>
      </w:r>
      <w:r>
        <w:rPr>
          <w:rFonts w:hint="eastAsia" w:ascii="宋体" w:hAnsi="宋体" w:eastAsia="宋体" w:cs="宋体"/>
          <w:snapToGrid w:val="0"/>
          <w:color w:val="000000"/>
          <w:sz w:val="24"/>
          <w:szCs w:val="24"/>
          <w:lang w:val="en-US" w:eastAsia="zh-CN" w:bidi="ar-SA"/>
        </w:rPr>
        <w:t>任务从发现问题到完成处置闭环。</w:t>
      </w:r>
    </w:p>
    <w:p w14:paraId="2E655FAF">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cs="宋体"/>
          <w:b/>
          <w:snapToGrid w:val="0"/>
          <w:color w:val="000000"/>
          <w:sz w:val="28"/>
          <w:szCs w:val="28"/>
          <w:lang w:val="en-US" w:eastAsia="zh-CN" w:bidi="ar-SA"/>
        </w:rPr>
      </w:pPr>
      <w:bookmarkStart w:id="20" w:name="_Toc1749252960"/>
      <w:r>
        <w:rPr>
          <w:rFonts w:hint="eastAsia" w:ascii="宋体" w:hAnsi="宋体" w:cs="宋体"/>
          <w:b/>
          <w:snapToGrid w:val="0"/>
          <w:color w:val="000000"/>
          <w:sz w:val="28"/>
          <w:szCs w:val="28"/>
          <w:lang w:val="en-US" w:eastAsia="zh-CN" w:bidi="ar-SA"/>
        </w:rPr>
        <w:t>3.2</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智能</w:t>
      </w:r>
      <w:bookmarkStart w:id="26" w:name="_GoBack"/>
      <w:bookmarkEnd w:id="26"/>
      <w:r>
        <w:rPr>
          <w:rFonts w:hint="eastAsia" w:ascii="宋体" w:hAnsi="宋体" w:cs="宋体"/>
          <w:b/>
          <w:snapToGrid w:val="0"/>
          <w:color w:val="000000"/>
          <w:sz w:val="28"/>
          <w:szCs w:val="28"/>
          <w:lang w:val="en-US" w:eastAsia="zh-CN" w:bidi="ar-SA"/>
        </w:rPr>
        <w:t>体集群管理中枢</w:t>
      </w:r>
      <w:bookmarkEnd w:id="20"/>
      <w:r>
        <w:rPr>
          <w:rFonts w:hint="eastAsia" w:ascii="宋体" w:hAnsi="宋体" w:cs="宋体"/>
          <w:b/>
          <w:snapToGrid w:val="0"/>
          <w:color w:val="000000"/>
          <w:sz w:val="28"/>
          <w:szCs w:val="28"/>
          <w:lang w:val="en-US" w:eastAsia="zh-CN" w:bidi="ar-SA"/>
        </w:rPr>
        <w:t>（软件）</w:t>
      </w:r>
    </w:p>
    <w:p w14:paraId="36C9E5D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智能体集群管理中枢是连接六大业务应用与底层智能能力的核心软件平台。本期建设重点不是简单增加智能体数量，而是将前期已有智能体和本期业务所需智能能力进行统一管理和统一编排。</w:t>
      </w:r>
    </w:p>
    <w:p w14:paraId="5450F4B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中枢面向六大业务场景建立智能任务运行机制。当用户提出业务需求时，中枢首先识别用户身份、业务意图和任务目标，再根据实际业务流程组织相应智能体，并按需调用行业大模型、知识库、业务数据、设备数据和专业工具，最终完成</w:t>
      </w:r>
      <w:r>
        <w:rPr>
          <w:rFonts w:hint="eastAsia" w:ascii="宋体" w:hAnsi="宋体" w:cs="宋体"/>
          <w:snapToGrid w:val="0"/>
          <w:color w:val="000000"/>
          <w:sz w:val="24"/>
          <w:szCs w:val="24"/>
          <w:lang w:val="en-US" w:eastAsia="zh-CN" w:bidi="ar-SA"/>
        </w:rPr>
        <w:t>复杂的</w:t>
      </w:r>
      <w:r>
        <w:rPr>
          <w:rFonts w:hint="eastAsia" w:ascii="宋体" w:hAnsi="宋体" w:eastAsia="宋体" w:cs="宋体"/>
          <w:snapToGrid w:val="0"/>
          <w:color w:val="000000"/>
          <w:sz w:val="24"/>
          <w:szCs w:val="24"/>
          <w:lang w:val="en-US" w:eastAsia="zh-CN" w:bidi="ar-SA"/>
        </w:rPr>
        <w:t>业务任务。</w:t>
      </w:r>
    </w:p>
    <w:p w14:paraId="6F304E4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例如，当用户提出“分析当前项目是否具备投标条件并形成技术标初稿”时，</w:t>
      </w:r>
      <w:r>
        <w:rPr>
          <w:rFonts w:hint="eastAsia" w:ascii="宋体" w:hAnsi="宋体" w:cs="宋体"/>
          <w:snapToGrid w:val="0"/>
          <w:color w:val="000000"/>
          <w:sz w:val="24"/>
          <w:szCs w:val="24"/>
          <w:lang w:val="en-US" w:eastAsia="zh-CN" w:bidi="ar-SA"/>
        </w:rPr>
        <w:t>管理</w:t>
      </w:r>
      <w:r>
        <w:rPr>
          <w:rFonts w:hint="eastAsia" w:ascii="宋体" w:hAnsi="宋体" w:eastAsia="宋体" w:cs="宋体"/>
          <w:snapToGrid w:val="0"/>
          <w:color w:val="000000"/>
          <w:sz w:val="24"/>
          <w:szCs w:val="24"/>
          <w:lang w:val="en-US" w:eastAsia="zh-CN" w:bidi="ar-SA"/>
        </w:rPr>
        <w:t>中枢可依次组织招标文件分析、企业能力匹配、历史项目检索和投标文件编制等能力协同完成任务；当用户提出“查询明日到龄试块并找出尚未安排试验的任务”时，中枢可关联样品信息、龄期规则、委托任务和试验计划进行综合查询。</w:t>
      </w:r>
    </w:p>
    <w:p w14:paraId="193D73D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建设内容重点包括：</w:t>
      </w:r>
    </w:p>
    <w:p w14:paraId="66BDFB41">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1. 智能应用客户端：建设面向业务人员和管理人员的统一智能应用入口，支持用户通过自然语言与模型及智能体进行对话，按身份和权限使用六大业务场景，并集中查看任务执行过程、分析结果及生成的文档成果。</w:t>
      </w:r>
    </w:p>
    <w:p w14:paraId="4593B286">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 智能体统一管理：对已有和新增智能体进行统一注册、配置、启停、权限和运行状态管理，逐步形成企业智能体资产统一管理体系。</w:t>
      </w:r>
    </w:p>
    <w:p w14:paraId="4BE9F5F0">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3. 业务任务统一编排：根据不同业务任务，将复杂需求拆分为多个执行步骤，并组织不同智能体、模型和工具协同完成。</w:t>
      </w:r>
    </w:p>
    <w:p w14:paraId="5EAB1E48">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4. 知识与工具统一调用：将行业知识库、企业资料、业务数据查询、文档处理、报告生成以及现有业务系统接口等能力统一纳入可调用范围。</w:t>
      </w:r>
    </w:p>
    <w:p w14:paraId="78407897">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5. 数据权限统一控制：根据组织、岗位、人员和业务范围控制智能体可访问的数据、知识和工具，避免不同人员跨权限获取业务信息。</w:t>
      </w:r>
    </w:p>
    <w:p w14:paraId="045DF63D">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6. 运行过程统一监测：对智能体运行状态、任务执行情况、异常信息和调用情况进行记录，为后续运行维护和应用优化提供依据。</w:t>
      </w:r>
    </w:p>
    <w:p w14:paraId="5A988205">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由此实现从“单点智能应用”向“智能体集群协同”转变，使智能体成为六大业务线背后的公共智能执行能力，而不是独立于业务系统之外的单一应用。</w:t>
      </w:r>
    </w:p>
    <w:p w14:paraId="2DCBB179">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cs="宋体"/>
          <w:b/>
          <w:snapToGrid w:val="0"/>
          <w:color w:val="000000"/>
          <w:sz w:val="28"/>
          <w:szCs w:val="28"/>
          <w:lang w:val="en-US" w:eastAsia="zh-CN" w:bidi="ar-SA"/>
        </w:rPr>
      </w:pPr>
      <w:bookmarkStart w:id="21" w:name="_Toc643371290"/>
      <w:r>
        <w:rPr>
          <w:rFonts w:hint="eastAsia" w:ascii="宋体" w:hAnsi="宋体" w:cs="宋体"/>
          <w:b/>
          <w:snapToGrid w:val="0"/>
          <w:color w:val="000000"/>
          <w:sz w:val="28"/>
          <w:szCs w:val="28"/>
          <w:lang w:val="en-US" w:eastAsia="zh-CN" w:bidi="ar-SA"/>
        </w:rPr>
        <w:t>3.3</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智能算力调度平台</w:t>
      </w:r>
      <w:bookmarkEnd w:id="21"/>
      <w:r>
        <w:rPr>
          <w:rFonts w:hint="eastAsia" w:ascii="宋体" w:hAnsi="宋体" w:cs="宋体"/>
          <w:b/>
          <w:snapToGrid w:val="0"/>
          <w:color w:val="000000"/>
          <w:sz w:val="28"/>
          <w:szCs w:val="28"/>
          <w:lang w:val="en-US" w:eastAsia="zh-CN" w:bidi="ar-SA"/>
        </w:rPr>
        <w:t>（软件）</w:t>
      </w:r>
    </w:p>
    <w:p w14:paraId="3702C95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随着行业大模型、多模态识别、文档解析和智能体应用逐步增加，不同人工智能任务对GPU、CPU、显存和存储资源的需求存在明显差异。本期拟建设智能算力调度平台，对新增及可纳管的本地计算资源进行统一监测和基础调度。</w:t>
      </w:r>
    </w:p>
    <w:p w14:paraId="7553EEB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平台定位为内部人工智能计算资源的运行管理平台，重点服务本单位大模型和智能应用，不面向外部提供公共算力服务。</w:t>
      </w:r>
    </w:p>
    <w:p w14:paraId="09D22F7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建设内容主要包括：</w:t>
      </w:r>
    </w:p>
    <w:p w14:paraId="557914C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1. 算力资源统一纳管：统一接入新增GPU服务器及可纳管的现有计算资源，形成内部算力资源清单。</w:t>
      </w:r>
    </w:p>
    <w:p w14:paraId="71B9F01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2. 资源使用情况监测：统一展示GPU使用率、显存占用、CPU、内存及服务器运行状态，使运维人员能够直观掌握算力资源总体使用情况。</w:t>
      </w:r>
    </w:p>
    <w:p w14:paraId="69CCAC1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3. 模型及任务运行监测：关联模型和人工智能任务，掌握不同模型、智能体及业务应用的资源占用和运行状态。</w:t>
      </w:r>
    </w:p>
    <w:p w14:paraId="77AE8D2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4. 资源基础调度：针对大模型推理、多模态处理、模型训练等不同任务，根据实际资源需求进行基础资源分配，降低多任务同时运行时产生的资源冲突。</w:t>
      </w:r>
    </w:p>
    <w:p w14:paraId="4986E79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5. 运行状态展示：形成面向运维人员的统一运行视图，为故障定位、资源扩展和日常运行管理提供依据。</w:t>
      </w:r>
    </w:p>
    <w:p w14:paraId="42DB244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智能算力调度平台与智能体集群管理中枢保持清晰职责边界</w:t>
      </w:r>
      <w:r>
        <w:rPr>
          <w:rFonts w:hint="eastAsia" w:ascii="宋体" w:hAnsi="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智能体集群管理中枢解决“业务任务如何组织和执行”的问题；智能算力调度平台解决“人工智能任务使用哪些计算资源运行”的问题。</w:t>
      </w:r>
    </w:p>
    <w:p w14:paraId="18A005BB">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cs="宋体"/>
          <w:b/>
          <w:snapToGrid w:val="0"/>
          <w:color w:val="000000"/>
          <w:sz w:val="28"/>
          <w:szCs w:val="28"/>
          <w:lang w:val="en-US" w:eastAsia="zh-CN" w:bidi="ar-SA"/>
        </w:rPr>
      </w:pPr>
      <w:bookmarkStart w:id="22" w:name="_Toc561108385"/>
      <w:r>
        <w:rPr>
          <w:rFonts w:hint="eastAsia" w:ascii="宋体" w:hAnsi="宋体" w:cs="宋体"/>
          <w:b/>
          <w:snapToGrid w:val="0"/>
          <w:color w:val="000000"/>
          <w:sz w:val="28"/>
          <w:szCs w:val="28"/>
          <w:lang w:val="en-US" w:eastAsia="zh-CN" w:bidi="ar-SA"/>
        </w:rPr>
        <w:t>3.4</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算力服务器建设（硬件）</w:t>
      </w:r>
      <w:bookmarkEnd w:id="22"/>
    </w:p>
    <w:p w14:paraId="564DA55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算力资源建设是本期智能化应用持续运行的基础保障。根据行业大模型、智能体、多模态识别、文档处理和知识检索等应用需求，建设服务于本单位的本地智能算力资源环境。</w:t>
      </w:r>
    </w:p>
    <w:p w14:paraId="62AAD64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建设内容主要包括GPU计算资源、通用计算资源、存储资源以及相应网络环境。其中，GPU计算资源主要承担大模型推理、模型适配、多模态分析等计算任务；通用计算资源承担智能体平台、算力调度平台及相关业务服务运行；存储资源用于保存模型文件、知识资料、业务文档以及相关多模态数据。</w:t>
      </w:r>
    </w:p>
    <w:p w14:paraId="4B8B708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通过本地化资源建设，使企业内部业务数据、检测资料和行业模型能够在本地环境中运行，为上层智能化应用提供稳定、安全和可持续的计算支撑。</w:t>
      </w:r>
    </w:p>
    <w:p w14:paraId="1562B0A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最终形成“本地智能算力资源 → 智能算力调度平台 → 行业大模型与智能能力 → 智能体集群管理中枢 → 六大业务应用”的完整支撑链路。</w:t>
      </w:r>
    </w:p>
    <w:p w14:paraId="6C10BB7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br w:type="page"/>
      </w:r>
    </w:p>
    <w:p w14:paraId="53B9FFA4">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eastAsia="宋体" w:cs="宋体"/>
          <w:b/>
          <w:snapToGrid w:val="0"/>
          <w:color w:val="000000"/>
          <w:sz w:val="28"/>
          <w:szCs w:val="28"/>
          <w:lang w:val="en-US" w:eastAsia="zh-CN" w:bidi="ar-SA"/>
        </w:rPr>
      </w:pPr>
      <w:bookmarkStart w:id="23" w:name="_Toc947932718"/>
      <w:r>
        <w:rPr>
          <w:rFonts w:hint="eastAsia" w:ascii="宋体" w:hAnsi="宋体" w:cs="宋体"/>
          <w:b/>
          <w:snapToGrid w:val="0"/>
          <w:color w:val="000000"/>
          <w:sz w:val="28"/>
          <w:szCs w:val="28"/>
          <w:lang w:val="en-US" w:eastAsia="zh-CN" w:bidi="ar-SA"/>
        </w:rPr>
        <w:t>四</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项目计划与预期成果</w:t>
      </w:r>
      <w:bookmarkEnd w:id="23"/>
    </w:p>
    <w:p w14:paraId="7CD1779A">
      <w:pPr>
        <w:pStyle w:val="2"/>
        <w:rPr>
          <w:rFonts w:hint="eastAsia" w:ascii="宋体" w:hAnsi="宋体" w:cs="宋体"/>
          <w:b/>
          <w:snapToGrid w:val="0"/>
          <w:color w:val="000000"/>
          <w:sz w:val="28"/>
          <w:szCs w:val="28"/>
          <w:lang w:val="en-US" w:eastAsia="zh-CN" w:bidi="ar-SA"/>
        </w:rPr>
      </w:pPr>
      <w:bookmarkStart w:id="24" w:name="_Toc1871497980"/>
      <w:r>
        <w:rPr>
          <w:rFonts w:hint="eastAsia" w:ascii="宋体" w:hAnsi="宋体" w:cs="宋体"/>
          <w:b/>
          <w:snapToGrid w:val="0"/>
          <w:color w:val="000000"/>
          <w:sz w:val="28"/>
          <w:szCs w:val="28"/>
          <w:lang w:val="en-US" w:eastAsia="zh-CN" w:bidi="ar-SA"/>
        </w:rPr>
        <w:t>4.1 工作安排</w:t>
      </w:r>
      <w:bookmarkEnd w:id="24"/>
    </w:p>
    <w:p w14:paraId="20DBDB7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项目整体按照24周进行规划，结合业务梳理、方案设计、平台建设、场景开发、算力环境建设、联调验证和试运行等工作，划分为六个阶段。。</w:t>
      </w:r>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339"/>
        <w:gridCol w:w="938"/>
        <w:gridCol w:w="4190"/>
        <w:gridCol w:w="2078"/>
      </w:tblGrid>
      <w:tr w14:paraId="62E6F276">
        <w:trPr>
          <w:cantSplit/>
          <w:tblHeader/>
          <w:jc w:val="center"/>
        </w:trPr>
        <w:tc>
          <w:tcPr>
            <w:tcW w:w="0" w:type="auto"/>
            <w:shd w:val="clear" w:color="auto" w:fill="17365D"/>
            <w:tcMar>
              <w:top w:w="100" w:type="dxa"/>
              <w:left w:w="120" w:type="dxa"/>
              <w:bottom w:w="100" w:type="dxa"/>
              <w:right w:w="120" w:type="dxa"/>
            </w:tcMar>
            <w:vAlign w:val="center"/>
          </w:tcPr>
          <w:p w14:paraId="753CD434">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阶段</w:t>
            </w:r>
          </w:p>
        </w:tc>
        <w:tc>
          <w:tcPr>
            <w:tcW w:w="0" w:type="auto"/>
            <w:shd w:val="clear" w:color="auto" w:fill="17365D"/>
            <w:tcMar>
              <w:top w:w="100" w:type="dxa"/>
              <w:left w:w="120" w:type="dxa"/>
              <w:bottom w:w="100" w:type="dxa"/>
              <w:right w:w="120" w:type="dxa"/>
            </w:tcMar>
            <w:vAlign w:val="center"/>
          </w:tcPr>
          <w:p w14:paraId="54F0238B">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周期</w:t>
            </w:r>
          </w:p>
        </w:tc>
        <w:tc>
          <w:tcPr>
            <w:tcW w:w="0" w:type="auto"/>
            <w:shd w:val="clear" w:color="auto" w:fill="17365D"/>
            <w:tcMar>
              <w:top w:w="100" w:type="dxa"/>
              <w:left w:w="120" w:type="dxa"/>
              <w:bottom w:w="100" w:type="dxa"/>
              <w:right w:w="120" w:type="dxa"/>
            </w:tcMar>
            <w:vAlign w:val="center"/>
          </w:tcPr>
          <w:p w14:paraId="2CD93FE0">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主要工作</w:t>
            </w:r>
          </w:p>
        </w:tc>
        <w:tc>
          <w:tcPr>
            <w:tcW w:w="0" w:type="auto"/>
            <w:shd w:val="clear" w:color="auto" w:fill="17365D"/>
            <w:tcMar>
              <w:top w:w="100" w:type="dxa"/>
              <w:left w:w="120" w:type="dxa"/>
              <w:bottom w:w="100" w:type="dxa"/>
              <w:right w:w="120" w:type="dxa"/>
            </w:tcMar>
            <w:vAlign w:val="center"/>
          </w:tcPr>
          <w:p w14:paraId="3D80A95E">
            <w:pPr>
              <w:spacing w:before="0" w:after="0" w:line="269" w:lineRule="auto"/>
              <w:jc w:val="center"/>
              <w:rPr>
                <w:rFonts w:hint="default" w:ascii="宋体" w:hAnsi="宋体" w:cs="宋体"/>
                <w:b/>
                <w:color w:val="FFFFFF"/>
                <w:sz w:val="18"/>
                <w:lang w:val="en-US" w:eastAsia="zh-CN"/>
              </w:rPr>
            </w:pPr>
            <w:r>
              <w:rPr>
                <w:rFonts w:hint="eastAsia" w:ascii="宋体" w:hAnsi="宋体" w:cs="宋体"/>
                <w:b/>
                <w:color w:val="FFFFFF"/>
                <w:sz w:val="18"/>
                <w:lang w:val="en-US" w:eastAsia="zh-CN"/>
              </w:rPr>
              <w:t>阶段成果</w:t>
            </w:r>
          </w:p>
        </w:tc>
      </w:tr>
      <w:tr w14:paraId="3114930A">
        <w:trPr>
          <w:cantSplit/>
          <w:jc w:val="center"/>
        </w:trPr>
        <w:tc>
          <w:tcPr>
            <w:tcW w:w="0" w:type="auto"/>
            <w:tcMar>
              <w:top w:w="100" w:type="dxa"/>
              <w:left w:w="120" w:type="dxa"/>
              <w:bottom w:w="100" w:type="dxa"/>
              <w:right w:w="120" w:type="dxa"/>
            </w:tcMar>
            <w:vAlign w:val="center"/>
          </w:tcPr>
          <w:p w14:paraId="675850B1">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第一阶段：业务蓝图与需求深化</w:t>
            </w:r>
          </w:p>
        </w:tc>
        <w:tc>
          <w:tcPr>
            <w:tcW w:w="0" w:type="auto"/>
            <w:tcMar>
              <w:top w:w="100" w:type="dxa"/>
              <w:left w:w="120" w:type="dxa"/>
              <w:bottom w:w="100" w:type="dxa"/>
              <w:right w:w="120" w:type="dxa"/>
            </w:tcMar>
            <w:vAlign w:val="center"/>
          </w:tcPr>
          <w:p w14:paraId="77670E2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第1—3周</w:t>
            </w:r>
          </w:p>
        </w:tc>
        <w:tc>
          <w:tcPr>
            <w:tcW w:w="0" w:type="auto"/>
            <w:tcMar>
              <w:top w:w="100" w:type="dxa"/>
              <w:left w:w="120" w:type="dxa"/>
              <w:bottom w:w="100" w:type="dxa"/>
              <w:right w:w="120" w:type="dxa"/>
            </w:tcMar>
            <w:vAlign w:val="center"/>
          </w:tcPr>
          <w:p w14:paraId="764E438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梳理一期、二期建设成果；调研六大业务线现状；重点梳理项目承接、委托检测、样品、报告、质量、设备、安全及管理流程；明确三期建设边界和业务优先级</w:t>
            </w:r>
          </w:p>
        </w:tc>
        <w:tc>
          <w:tcPr>
            <w:tcW w:w="0" w:type="auto"/>
            <w:tcMar>
              <w:top w:w="100" w:type="dxa"/>
              <w:left w:w="120" w:type="dxa"/>
              <w:bottom w:w="100" w:type="dxa"/>
              <w:right w:w="120" w:type="dxa"/>
            </w:tcMar>
            <w:vAlign w:val="center"/>
          </w:tcPr>
          <w:p w14:paraId="2B8D57D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项目需求分析、业务蓝图、三期建设边界、总体建设方案</w:t>
            </w:r>
          </w:p>
        </w:tc>
      </w:tr>
      <w:tr w14:paraId="42A515F7">
        <w:trPr>
          <w:cantSplit/>
          <w:jc w:val="center"/>
        </w:trPr>
        <w:tc>
          <w:tcPr>
            <w:tcW w:w="0" w:type="auto"/>
            <w:shd w:val="clear" w:color="auto" w:fill="F5F9FC"/>
            <w:tcMar>
              <w:top w:w="100" w:type="dxa"/>
              <w:left w:w="120" w:type="dxa"/>
              <w:bottom w:w="100" w:type="dxa"/>
              <w:right w:w="120" w:type="dxa"/>
            </w:tcMar>
            <w:vAlign w:val="center"/>
          </w:tcPr>
          <w:p w14:paraId="57F0F80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第二阶段：总体设计与资源规划</w:t>
            </w:r>
          </w:p>
        </w:tc>
        <w:tc>
          <w:tcPr>
            <w:tcW w:w="0" w:type="auto"/>
            <w:shd w:val="clear" w:color="auto" w:fill="F5F9FC"/>
            <w:tcMar>
              <w:top w:w="100" w:type="dxa"/>
              <w:left w:w="120" w:type="dxa"/>
              <w:bottom w:w="100" w:type="dxa"/>
              <w:right w:w="120" w:type="dxa"/>
            </w:tcMar>
            <w:vAlign w:val="center"/>
          </w:tcPr>
          <w:p w14:paraId="43E21A45">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第4—6周</w:t>
            </w:r>
          </w:p>
        </w:tc>
        <w:tc>
          <w:tcPr>
            <w:tcW w:w="0" w:type="auto"/>
            <w:shd w:val="clear" w:color="auto" w:fill="F5F9FC"/>
            <w:tcMar>
              <w:top w:w="100" w:type="dxa"/>
              <w:left w:w="120" w:type="dxa"/>
              <w:bottom w:w="100" w:type="dxa"/>
              <w:right w:w="120" w:type="dxa"/>
            </w:tcMar>
            <w:vAlign w:val="center"/>
          </w:tcPr>
          <w:p w14:paraId="5F0B12B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完成六大业务场景设计；明确智能体集群管理模式；梳理现有系统、数据、设备和知识资源；完成算力需求分析和软硬件总体设计</w:t>
            </w:r>
          </w:p>
        </w:tc>
        <w:tc>
          <w:tcPr>
            <w:tcW w:w="0" w:type="auto"/>
            <w:shd w:val="clear" w:color="auto" w:fill="F5F9FC"/>
            <w:tcMar>
              <w:top w:w="100" w:type="dxa"/>
              <w:left w:w="120" w:type="dxa"/>
              <w:bottom w:w="100" w:type="dxa"/>
              <w:right w:w="120" w:type="dxa"/>
            </w:tcMar>
            <w:vAlign w:val="center"/>
          </w:tcPr>
          <w:p w14:paraId="2D35786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业务架构、总体架构、系统设计方案、算力资源规划</w:t>
            </w:r>
          </w:p>
        </w:tc>
      </w:tr>
      <w:tr w14:paraId="26E71297">
        <w:trPr>
          <w:cantSplit/>
          <w:jc w:val="center"/>
        </w:trPr>
        <w:tc>
          <w:tcPr>
            <w:tcW w:w="0" w:type="auto"/>
            <w:shd w:val="clear" w:color="auto" w:fill="F5F9FC"/>
            <w:tcMar>
              <w:top w:w="100" w:type="dxa"/>
              <w:left w:w="120" w:type="dxa"/>
              <w:bottom w:w="100" w:type="dxa"/>
              <w:right w:w="120" w:type="dxa"/>
            </w:tcMar>
            <w:vAlign w:val="center"/>
          </w:tcPr>
          <w:p w14:paraId="0DD9985E">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第三阶段：基础平台与算力环境建设</w:t>
            </w:r>
          </w:p>
        </w:tc>
        <w:tc>
          <w:tcPr>
            <w:tcW w:w="0" w:type="auto"/>
            <w:shd w:val="clear" w:color="auto" w:fill="F5F9FC"/>
            <w:tcMar>
              <w:top w:w="100" w:type="dxa"/>
              <w:left w:w="120" w:type="dxa"/>
              <w:bottom w:w="100" w:type="dxa"/>
              <w:right w:w="120" w:type="dxa"/>
            </w:tcMar>
            <w:vAlign w:val="center"/>
          </w:tcPr>
          <w:p w14:paraId="19A1DF18">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第7—10周</w:t>
            </w:r>
          </w:p>
        </w:tc>
        <w:tc>
          <w:tcPr>
            <w:tcW w:w="0" w:type="auto"/>
            <w:shd w:val="clear" w:color="auto" w:fill="F5F9FC"/>
            <w:tcMar>
              <w:top w:w="100" w:type="dxa"/>
              <w:left w:w="120" w:type="dxa"/>
              <w:bottom w:w="100" w:type="dxa"/>
              <w:right w:w="120" w:type="dxa"/>
            </w:tcMar>
            <w:vAlign w:val="center"/>
          </w:tcPr>
          <w:p w14:paraId="6AEADAE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部署本地算力资源；建设智能算力调度平台基础能力；建设智能体集群管理中枢基础框架；完成模型、知识、工具及相关系统的基础接入</w:t>
            </w:r>
          </w:p>
        </w:tc>
        <w:tc>
          <w:tcPr>
            <w:tcW w:w="0" w:type="auto"/>
            <w:shd w:val="clear" w:color="auto" w:fill="F5F9FC"/>
            <w:tcMar>
              <w:top w:w="100" w:type="dxa"/>
              <w:left w:w="120" w:type="dxa"/>
              <w:bottom w:w="100" w:type="dxa"/>
              <w:right w:w="120" w:type="dxa"/>
            </w:tcMar>
            <w:vAlign w:val="center"/>
          </w:tcPr>
          <w:p w14:paraId="21D27EA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本地算力运行环境、算力监测能力、智能体集群管理基础平台</w:t>
            </w:r>
          </w:p>
        </w:tc>
      </w:tr>
      <w:tr w14:paraId="5B1BA437">
        <w:trPr>
          <w:cantSplit/>
          <w:jc w:val="center"/>
        </w:trPr>
        <w:tc>
          <w:tcPr>
            <w:tcW w:w="0" w:type="auto"/>
            <w:shd w:val="clear" w:color="auto" w:fill="F5F9FC"/>
            <w:tcMar>
              <w:top w:w="100" w:type="dxa"/>
              <w:left w:w="120" w:type="dxa"/>
              <w:bottom w:w="100" w:type="dxa"/>
              <w:right w:w="120" w:type="dxa"/>
            </w:tcMar>
            <w:vAlign w:val="center"/>
          </w:tcPr>
          <w:p w14:paraId="71A4E4B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第四阶段：核心业务场景建设</w:t>
            </w:r>
          </w:p>
        </w:tc>
        <w:tc>
          <w:tcPr>
            <w:tcW w:w="0" w:type="auto"/>
            <w:shd w:val="clear" w:color="auto" w:fill="F5F9FC"/>
            <w:tcMar>
              <w:top w:w="100" w:type="dxa"/>
              <w:left w:w="120" w:type="dxa"/>
              <w:bottom w:w="100" w:type="dxa"/>
              <w:right w:w="120" w:type="dxa"/>
            </w:tcMar>
            <w:vAlign w:val="center"/>
          </w:tcPr>
          <w:p w14:paraId="713F6AC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第11—16周</w:t>
            </w:r>
          </w:p>
        </w:tc>
        <w:tc>
          <w:tcPr>
            <w:tcW w:w="0" w:type="auto"/>
            <w:shd w:val="clear" w:color="auto" w:fill="F5F9FC"/>
            <w:tcMar>
              <w:top w:w="100" w:type="dxa"/>
              <w:left w:w="120" w:type="dxa"/>
              <w:bottom w:w="100" w:type="dxa"/>
              <w:right w:w="120" w:type="dxa"/>
            </w:tcMar>
            <w:vAlign w:val="center"/>
          </w:tcPr>
          <w:p w14:paraId="2A470BD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围绕六大业务线开展重点应用建设；优先推进委托受理、样品及龄期管理、数据直采、专项报告、质量追溯、企业能力匹配、设备资源管理等核心场景</w:t>
            </w:r>
          </w:p>
        </w:tc>
        <w:tc>
          <w:tcPr>
            <w:tcW w:w="0" w:type="auto"/>
            <w:shd w:val="clear" w:color="auto" w:fill="F5F9FC"/>
            <w:tcMar>
              <w:top w:w="100" w:type="dxa"/>
              <w:left w:w="120" w:type="dxa"/>
              <w:bottom w:w="100" w:type="dxa"/>
              <w:right w:w="120" w:type="dxa"/>
            </w:tcMar>
            <w:vAlign w:val="center"/>
          </w:tcPr>
          <w:p w14:paraId="49DBF1E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六大业务线阶段应用成果、核心业务场景原型及可运行版本</w:t>
            </w:r>
          </w:p>
        </w:tc>
      </w:tr>
      <w:tr w14:paraId="7AEEC195">
        <w:trPr>
          <w:cantSplit/>
          <w:jc w:val="center"/>
        </w:trPr>
        <w:tc>
          <w:tcPr>
            <w:tcW w:w="0" w:type="auto"/>
            <w:shd w:val="clear" w:color="auto" w:fill="F5F9FC"/>
            <w:tcMar>
              <w:top w:w="100" w:type="dxa"/>
              <w:left w:w="120" w:type="dxa"/>
              <w:bottom w:w="100" w:type="dxa"/>
              <w:right w:w="120" w:type="dxa"/>
            </w:tcMar>
            <w:vAlign w:val="center"/>
          </w:tcPr>
          <w:p w14:paraId="0FA8855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第五阶段：业务贯通与综合联调</w:t>
            </w:r>
          </w:p>
        </w:tc>
        <w:tc>
          <w:tcPr>
            <w:tcW w:w="0" w:type="auto"/>
            <w:shd w:val="clear" w:color="auto" w:fill="F5F9FC"/>
            <w:tcMar>
              <w:top w:w="100" w:type="dxa"/>
              <w:left w:w="120" w:type="dxa"/>
              <w:bottom w:w="100" w:type="dxa"/>
              <w:right w:w="120" w:type="dxa"/>
            </w:tcMar>
            <w:vAlign w:val="center"/>
          </w:tcPr>
          <w:p w14:paraId="6639079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第17—20周</w:t>
            </w:r>
          </w:p>
        </w:tc>
        <w:tc>
          <w:tcPr>
            <w:tcW w:w="0" w:type="auto"/>
            <w:shd w:val="clear" w:color="auto" w:fill="F5F9FC"/>
            <w:tcMar>
              <w:top w:w="100" w:type="dxa"/>
              <w:left w:w="120" w:type="dxa"/>
              <w:bottom w:w="100" w:type="dxa"/>
              <w:right w:w="120" w:type="dxa"/>
            </w:tcMar>
            <w:vAlign w:val="center"/>
          </w:tcPr>
          <w:p w14:paraId="7E8A444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完成智能体与现有业务系统、知识库、设备数据及算力平台的贯通；开展业务流程联调、数据核对、权限校验和典型场景验证</w:t>
            </w:r>
          </w:p>
        </w:tc>
        <w:tc>
          <w:tcPr>
            <w:tcW w:w="0" w:type="auto"/>
            <w:shd w:val="clear" w:color="auto" w:fill="F5F9FC"/>
            <w:tcMar>
              <w:top w:w="100" w:type="dxa"/>
              <w:left w:w="120" w:type="dxa"/>
              <w:bottom w:w="100" w:type="dxa"/>
              <w:right w:w="120" w:type="dxa"/>
            </w:tcMar>
            <w:vAlign w:val="center"/>
          </w:tcPr>
          <w:p w14:paraId="2E0AE9A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系统集成成果、业务贯通流程、联调测试记录、问题整改清单</w:t>
            </w:r>
          </w:p>
        </w:tc>
      </w:tr>
      <w:tr w14:paraId="5F226832">
        <w:trPr>
          <w:cantSplit/>
          <w:jc w:val="center"/>
        </w:trPr>
        <w:tc>
          <w:tcPr>
            <w:tcW w:w="0" w:type="auto"/>
            <w:shd w:val="clear" w:color="auto" w:fill="F5F9FC"/>
            <w:tcMar>
              <w:top w:w="100" w:type="dxa"/>
              <w:left w:w="120" w:type="dxa"/>
              <w:bottom w:w="100" w:type="dxa"/>
              <w:right w:w="120" w:type="dxa"/>
            </w:tcMar>
            <w:vAlign w:val="center"/>
          </w:tcPr>
          <w:p w14:paraId="127D0F3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第六阶段：试运行与项目验收</w:t>
            </w:r>
          </w:p>
        </w:tc>
        <w:tc>
          <w:tcPr>
            <w:tcW w:w="0" w:type="auto"/>
            <w:shd w:val="clear" w:color="auto" w:fill="F5F9FC"/>
            <w:tcMar>
              <w:top w:w="100" w:type="dxa"/>
              <w:left w:w="120" w:type="dxa"/>
              <w:bottom w:w="100" w:type="dxa"/>
              <w:right w:w="120" w:type="dxa"/>
            </w:tcMar>
            <w:vAlign w:val="center"/>
          </w:tcPr>
          <w:p w14:paraId="55E9C7D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第21—24周</w:t>
            </w:r>
          </w:p>
        </w:tc>
        <w:tc>
          <w:tcPr>
            <w:tcW w:w="0" w:type="auto"/>
            <w:shd w:val="clear" w:color="auto" w:fill="F5F9FC"/>
            <w:tcMar>
              <w:top w:w="100" w:type="dxa"/>
              <w:left w:w="120" w:type="dxa"/>
              <w:bottom w:w="100" w:type="dxa"/>
              <w:right w:w="120" w:type="dxa"/>
            </w:tcMar>
            <w:vAlign w:val="center"/>
          </w:tcPr>
          <w:p w14:paraId="7E8B785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组织用户培训和试运行；根据实际使用情况优化业务流程和应用功能；完成成果整理、验收测试、文档编制及项目交付</w:t>
            </w:r>
          </w:p>
        </w:tc>
        <w:tc>
          <w:tcPr>
            <w:tcW w:w="0" w:type="auto"/>
            <w:shd w:val="clear" w:color="auto" w:fill="F5F9FC"/>
            <w:tcMar>
              <w:top w:w="100" w:type="dxa"/>
              <w:left w:w="120" w:type="dxa"/>
              <w:bottom w:w="100" w:type="dxa"/>
              <w:right w:w="120" w:type="dxa"/>
            </w:tcMar>
            <w:vAlign w:val="center"/>
          </w:tcPr>
          <w:p w14:paraId="2F38641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试运行报告、用户培训材料、验收材料、系统及软硬件正式交付成果</w:t>
            </w:r>
          </w:p>
        </w:tc>
      </w:tr>
    </w:tbl>
    <w:p w14:paraId="620A6D7B">
      <w:pPr>
        <w:bidi w:val="0"/>
        <w:rPr>
          <w:rFonts w:hint="default"/>
          <w:lang w:val="en-US" w:eastAsia="zh-CN"/>
        </w:rPr>
      </w:pPr>
    </w:p>
    <w:p w14:paraId="3D8FDAF2">
      <w:pPr>
        <w:bidi w:val="0"/>
        <w:rPr>
          <w:rFonts w:hint="eastAsia"/>
          <w:lang w:val="en-US" w:eastAsia="zh-CN"/>
        </w:rPr>
      </w:pPr>
    </w:p>
    <w:p w14:paraId="04C735E2">
      <w:pPr>
        <w:pStyle w:val="2"/>
        <w:rPr>
          <w:rFonts w:hint="eastAsia" w:ascii="宋体" w:hAnsi="宋体" w:cs="宋体"/>
          <w:b/>
          <w:snapToGrid w:val="0"/>
          <w:color w:val="000000"/>
          <w:sz w:val="28"/>
          <w:szCs w:val="28"/>
          <w:lang w:val="en-US" w:eastAsia="zh-CN" w:bidi="ar-SA"/>
        </w:rPr>
      </w:pPr>
      <w:bookmarkStart w:id="25" w:name="_Toc73572251"/>
      <w:r>
        <w:rPr>
          <w:rFonts w:hint="eastAsia" w:ascii="宋体" w:hAnsi="宋体" w:cs="宋体"/>
          <w:b/>
          <w:snapToGrid w:val="0"/>
          <w:color w:val="000000"/>
          <w:sz w:val="28"/>
          <w:szCs w:val="28"/>
          <w:lang w:val="en-US" w:eastAsia="zh-CN" w:bidi="ar-SA"/>
        </w:rPr>
        <w:t>4.2 预期成果</w:t>
      </w:r>
      <w:bookmarkEnd w:id="25"/>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883"/>
        <w:gridCol w:w="1788"/>
        <w:gridCol w:w="5874"/>
      </w:tblGrid>
      <w:tr w14:paraId="529857F5">
        <w:trPr>
          <w:cantSplit/>
          <w:tblHeader/>
          <w:jc w:val="center"/>
        </w:trPr>
        <w:tc>
          <w:tcPr>
            <w:tcW w:w="0" w:type="auto"/>
            <w:shd w:val="clear" w:color="auto" w:fill="17365D"/>
            <w:tcMar>
              <w:top w:w="100" w:type="dxa"/>
              <w:left w:w="120" w:type="dxa"/>
              <w:bottom w:w="100" w:type="dxa"/>
              <w:right w:w="120" w:type="dxa"/>
            </w:tcMar>
            <w:vAlign w:val="center"/>
          </w:tcPr>
          <w:p w14:paraId="6A0376EE">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成果类别</w:t>
            </w:r>
          </w:p>
        </w:tc>
        <w:tc>
          <w:tcPr>
            <w:tcW w:w="0" w:type="auto"/>
            <w:shd w:val="clear" w:color="auto" w:fill="17365D"/>
            <w:tcMar>
              <w:top w:w="100" w:type="dxa"/>
              <w:left w:w="120" w:type="dxa"/>
              <w:bottom w:w="100" w:type="dxa"/>
              <w:right w:w="120" w:type="dxa"/>
            </w:tcMar>
            <w:vAlign w:val="center"/>
          </w:tcPr>
          <w:p w14:paraId="137CD780">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交付成果</w:t>
            </w:r>
          </w:p>
        </w:tc>
        <w:tc>
          <w:tcPr>
            <w:tcW w:w="0" w:type="auto"/>
            <w:shd w:val="clear" w:color="auto" w:fill="17365D"/>
            <w:tcMar>
              <w:top w:w="100" w:type="dxa"/>
              <w:left w:w="120" w:type="dxa"/>
              <w:bottom w:w="100" w:type="dxa"/>
              <w:right w:w="120" w:type="dxa"/>
            </w:tcMar>
            <w:vAlign w:val="center"/>
          </w:tcPr>
          <w:p w14:paraId="6F3CFE20">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主要内容</w:t>
            </w:r>
          </w:p>
        </w:tc>
      </w:tr>
      <w:tr w14:paraId="14F5C7BC">
        <w:trPr>
          <w:cantSplit/>
          <w:jc w:val="center"/>
        </w:trPr>
        <w:tc>
          <w:tcPr>
            <w:tcW w:w="0" w:type="auto"/>
            <w:tcMar>
              <w:top w:w="100" w:type="dxa"/>
              <w:left w:w="120" w:type="dxa"/>
              <w:bottom w:w="100" w:type="dxa"/>
              <w:right w:w="120" w:type="dxa"/>
            </w:tcMar>
            <w:vAlign w:val="center"/>
          </w:tcPr>
          <w:p w14:paraId="2C377EE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业务应用成果</w:t>
            </w:r>
          </w:p>
        </w:tc>
        <w:tc>
          <w:tcPr>
            <w:tcW w:w="0" w:type="auto"/>
            <w:tcMar>
              <w:top w:w="100" w:type="dxa"/>
              <w:left w:w="120" w:type="dxa"/>
              <w:bottom w:w="100" w:type="dxa"/>
              <w:right w:w="120" w:type="dxa"/>
            </w:tcMar>
            <w:vAlign w:val="center"/>
          </w:tcPr>
          <w:p w14:paraId="0DB1427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六大业务线智能化应用</w:t>
            </w:r>
          </w:p>
        </w:tc>
        <w:tc>
          <w:tcPr>
            <w:tcW w:w="0" w:type="auto"/>
            <w:tcMar>
              <w:top w:w="100" w:type="dxa"/>
              <w:left w:w="120" w:type="dxa"/>
              <w:bottom w:w="100" w:type="dxa"/>
              <w:right w:w="120" w:type="dxa"/>
            </w:tcMar>
            <w:vAlign w:val="center"/>
          </w:tcPr>
          <w:p w14:paraId="567D2E0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围绕项目智拓、检测智产、质量智审、资源智管、安全智控和管理智辅形成一批可实际使用的业务场景，实现人工智能能力与试验检测业务流程融合</w:t>
            </w:r>
          </w:p>
        </w:tc>
      </w:tr>
      <w:tr w14:paraId="6D2DCC91">
        <w:trPr>
          <w:cantSplit/>
          <w:jc w:val="center"/>
        </w:trPr>
        <w:tc>
          <w:tcPr>
            <w:tcW w:w="0" w:type="auto"/>
            <w:shd w:val="clear" w:color="auto" w:fill="F5F9FC"/>
            <w:tcMar>
              <w:top w:w="100" w:type="dxa"/>
              <w:left w:w="120" w:type="dxa"/>
              <w:bottom w:w="100" w:type="dxa"/>
              <w:right w:w="120" w:type="dxa"/>
            </w:tcMar>
            <w:vAlign w:val="center"/>
          </w:tcPr>
          <w:p w14:paraId="72000AC1">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平台软件成果</w:t>
            </w:r>
          </w:p>
        </w:tc>
        <w:tc>
          <w:tcPr>
            <w:tcW w:w="0" w:type="auto"/>
            <w:shd w:val="clear" w:color="auto" w:fill="F5F9FC"/>
            <w:tcMar>
              <w:top w:w="100" w:type="dxa"/>
              <w:left w:w="120" w:type="dxa"/>
              <w:bottom w:w="100" w:type="dxa"/>
              <w:right w:w="120" w:type="dxa"/>
            </w:tcMar>
            <w:vAlign w:val="center"/>
          </w:tcPr>
          <w:p w14:paraId="721DA48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智能体集群管理中枢</w:t>
            </w:r>
          </w:p>
        </w:tc>
        <w:tc>
          <w:tcPr>
            <w:tcW w:w="0" w:type="auto"/>
            <w:shd w:val="clear" w:color="auto" w:fill="F5F9FC"/>
            <w:tcMar>
              <w:top w:w="100" w:type="dxa"/>
              <w:left w:w="120" w:type="dxa"/>
              <w:bottom w:w="100" w:type="dxa"/>
              <w:right w:w="120" w:type="dxa"/>
            </w:tcMar>
            <w:vAlign w:val="center"/>
          </w:tcPr>
          <w:p w14:paraId="6787E82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实现已有及新增智能体的统一注册、配置、权限、运行管理和业务任务编排，并统一调用模型、知识、数据和专业工具</w:t>
            </w:r>
          </w:p>
        </w:tc>
      </w:tr>
      <w:tr w14:paraId="10A3E172">
        <w:trPr>
          <w:cantSplit/>
          <w:jc w:val="center"/>
        </w:trPr>
        <w:tc>
          <w:tcPr>
            <w:tcW w:w="0" w:type="auto"/>
            <w:shd w:val="clear" w:color="auto" w:fill="F5F9FC"/>
            <w:tcMar>
              <w:top w:w="100" w:type="dxa"/>
              <w:left w:w="120" w:type="dxa"/>
              <w:bottom w:w="100" w:type="dxa"/>
              <w:right w:w="120" w:type="dxa"/>
            </w:tcMar>
            <w:vAlign w:val="center"/>
          </w:tcPr>
          <w:p w14:paraId="066524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平台软件成果</w:t>
            </w:r>
          </w:p>
        </w:tc>
        <w:tc>
          <w:tcPr>
            <w:tcW w:w="0" w:type="auto"/>
            <w:shd w:val="clear" w:color="auto" w:fill="F5F9FC"/>
            <w:tcMar>
              <w:top w:w="100" w:type="dxa"/>
              <w:left w:w="120" w:type="dxa"/>
              <w:bottom w:w="100" w:type="dxa"/>
              <w:right w:w="120" w:type="dxa"/>
            </w:tcMar>
            <w:vAlign w:val="center"/>
          </w:tcPr>
          <w:p w14:paraId="53A812A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智能算力调度平台</w:t>
            </w:r>
          </w:p>
        </w:tc>
        <w:tc>
          <w:tcPr>
            <w:tcW w:w="0" w:type="auto"/>
            <w:shd w:val="clear" w:color="auto" w:fill="F5F9FC"/>
            <w:tcMar>
              <w:top w:w="100" w:type="dxa"/>
              <w:left w:w="120" w:type="dxa"/>
              <w:bottom w:w="100" w:type="dxa"/>
              <w:right w:w="120" w:type="dxa"/>
            </w:tcMar>
            <w:vAlign w:val="center"/>
          </w:tcPr>
          <w:p w14:paraId="13B4FE4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实现本地计算资源统一纳管、算力运行监测、模型及任务运行监测、基础资源调度和运行状态展示</w:t>
            </w:r>
          </w:p>
        </w:tc>
      </w:tr>
      <w:tr w14:paraId="5245361E">
        <w:trPr>
          <w:cantSplit/>
          <w:jc w:val="center"/>
        </w:trPr>
        <w:tc>
          <w:tcPr>
            <w:tcW w:w="0" w:type="auto"/>
            <w:shd w:val="clear" w:color="auto" w:fill="F5F9FC"/>
            <w:tcMar>
              <w:top w:w="100" w:type="dxa"/>
              <w:left w:w="120" w:type="dxa"/>
              <w:bottom w:w="100" w:type="dxa"/>
              <w:right w:w="120" w:type="dxa"/>
            </w:tcMar>
            <w:vAlign w:val="center"/>
          </w:tcPr>
          <w:p w14:paraId="5D751A55">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基础设施成果</w:t>
            </w:r>
          </w:p>
        </w:tc>
        <w:tc>
          <w:tcPr>
            <w:tcW w:w="0" w:type="auto"/>
            <w:shd w:val="clear" w:color="auto" w:fill="F5F9FC"/>
            <w:tcMar>
              <w:top w:w="100" w:type="dxa"/>
              <w:left w:w="120" w:type="dxa"/>
              <w:bottom w:w="100" w:type="dxa"/>
              <w:right w:w="120" w:type="dxa"/>
            </w:tcMar>
            <w:vAlign w:val="center"/>
          </w:tcPr>
          <w:p w14:paraId="76BCA44D">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本地智能算力资源环境</w:t>
            </w:r>
          </w:p>
        </w:tc>
        <w:tc>
          <w:tcPr>
            <w:tcW w:w="0" w:type="auto"/>
            <w:shd w:val="clear" w:color="auto" w:fill="F5F9FC"/>
            <w:tcMar>
              <w:top w:w="100" w:type="dxa"/>
              <w:left w:w="120" w:type="dxa"/>
              <w:bottom w:w="100" w:type="dxa"/>
              <w:right w:w="120" w:type="dxa"/>
            </w:tcMar>
            <w:vAlign w:val="center"/>
          </w:tcPr>
          <w:p w14:paraId="34C238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形成由GPU计算资源、通用计算资源、存储资源和网络环境组成的本地运行基础，为大模型、智能体和智能业务应用提供支撑</w:t>
            </w:r>
          </w:p>
        </w:tc>
      </w:tr>
      <w:tr w14:paraId="16B59103">
        <w:trPr>
          <w:cantSplit/>
          <w:jc w:val="center"/>
        </w:trPr>
        <w:tc>
          <w:tcPr>
            <w:tcW w:w="0" w:type="auto"/>
            <w:shd w:val="clear" w:color="auto" w:fill="F5F9FC"/>
            <w:tcMar>
              <w:top w:w="100" w:type="dxa"/>
              <w:left w:w="120" w:type="dxa"/>
              <w:bottom w:w="100" w:type="dxa"/>
              <w:right w:w="120" w:type="dxa"/>
            </w:tcMar>
            <w:vAlign w:val="center"/>
          </w:tcPr>
          <w:p w14:paraId="6360DDF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数据与知识成果</w:t>
            </w:r>
          </w:p>
        </w:tc>
        <w:tc>
          <w:tcPr>
            <w:tcW w:w="0" w:type="auto"/>
            <w:shd w:val="clear" w:color="auto" w:fill="F5F9FC"/>
            <w:tcMar>
              <w:top w:w="100" w:type="dxa"/>
              <w:left w:w="120" w:type="dxa"/>
              <w:bottom w:w="100" w:type="dxa"/>
              <w:right w:w="120" w:type="dxa"/>
            </w:tcMar>
            <w:vAlign w:val="center"/>
          </w:tcPr>
          <w:p w14:paraId="58B6B7D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业务数据、企业资料及行业知识应用成果</w:t>
            </w:r>
          </w:p>
        </w:tc>
        <w:tc>
          <w:tcPr>
            <w:tcW w:w="0" w:type="auto"/>
            <w:shd w:val="clear" w:color="auto" w:fill="F5F9FC"/>
            <w:tcMar>
              <w:top w:w="100" w:type="dxa"/>
              <w:left w:w="120" w:type="dxa"/>
              <w:bottom w:w="100" w:type="dxa"/>
              <w:right w:w="120" w:type="dxa"/>
            </w:tcMar>
            <w:vAlign w:val="center"/>
          </w:tcPr>
          <w:p w14:paraId="3029720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梳理并形成业务字段映射、数据接口、知识分类、资料目录、报告模板、业务规则和典型场景配置等可持续维护成果</w:t>
            </w:r>
          </w:p>
        </w:tc>
      </w:tr>
      <w:tr w14:paraId="0E261D4A">
        <w:trPr>
          <w:cantSplit/>
          <w:jc w:val="center"/>
        </w:trPr>
        <w:tc>
          <w:tcPr>
            <w:tcW w:w="0" w:type="auto"/>
            <w:shd w:val="clear" w:color="auto" w:fill="F5F9FC"/>
            <w:tcMar>
              <w:top w:w="100" w:type="dxa"/>
              <w:left w:w="120" w:type="dxa"/>
              <w:bottom w:w="100" w:type="dxa"/>
              <w:right w:w="120" w:type="dxa"/>
            </w:tcMar>
            <w:vAlign w:val="center"/>
          </w:tcPr>
          <w:p w14:paraId="7FD79DA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文档成果</w:t>
            </w:r>
          </w:p>
        </w:tc>
        <w:tc>
          <w:tcPr>
            <w:tcW w:w="0" w:type="auto"/>
            <w:shd w:val="clear" w:color="auto" w:fill="F5F9FC"/>
            <w:tcMar>
              <w:top w:w="100" w:type="dxa"/>
              <w:left w:w="120" w:type="dxa"/>
              <w:bottom w:w="100" w:type="dxa"/>
              <w:right w:w="120" w:type="dxa"/>
            </w:tcMar>
            <w:vAlign w:val="center"/>
          </w:tcPr>
          <w:p w14:paraId="1AE6196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项目建设及交付文档</w:t>
            </w:r>
          </w:p>
        </w:tc>
        <w:tc>
          <w:tcPr>
            <w:tcW w:w="0" w:type="auto"/>
            <w:shd w:val="clear" w:color="auto" w:fill="F5F9FC"/>
            <w:tcMar>
              <w:top w:w="100" w:type="dxa"/>
              <w:left w:w="120" w:type="dxa"/>
              <w:bottom w:w="100" w:type="dxa"/>
              <w:right w:w="120" w:type="dxa"/>
            </w:tcMar>
            <w:vAlign w:val="center"/>
          </w:tcPr>
          <w:p w14:paraId="0838A1A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包括需求分析、总体设计、系统设计、接口及数据说明、部署说明、操作手册、运维手册、测试报告、试运行报告、培训材料和验收材料等</w:t>
            </w:r>
          </w:p>
        </w:tc>
      </w:tr>
      <w:tr w14:paraId="0B0B8E8A">
        <w:trPr>
          <w:cantSplit/>
          <w:jc w:val="center"/>
        </w:trPr>
        <w:tc>
          <w:tcPr>
            <w:tcW w:w="0" w:type="auto"/>
            <w:shd w:val="clear" w:color="auto" w:fill="F5F9FC"/>
            <w:tcMar>
              <w:top w:w="100" w:type="dxa"/>
              <w:left w:w="120" w:type="dxa"/>
              <w:bottom w:w="100" w:type="dxa"/>
              <w:right w:w="120" w:type="dxa"/>
            </w:tcMar>
            <w:vAlign w:val="center"/>
          </w:tcPr>
          <w:p w14:paraId="47FF544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知识产权成果</w:t>
            </w:r>
          </w:p>
        </w:tc>
        <w:tc>
          <w:tcPr>
            <w:tcW w:w="0" w:type="auto"/>
            <w:shd w:val="clear" w:color="auto" w:fill="F5F9FC"/>
            <w:tcMar>
              <w:top w:w="100" w:type="dxa"/>
              <w:left w:w="120" w:type="dxa"/>
              <w:bottom w:w="100" w:type="dxa"/>
              <w:right w:w="120" w:type="dxa"/>
            </w:tcMar>
            <w:vAlign w:val="center"/>
          </w:tcPr>
          <w:p w14:paraId="48E9967A">
            <w:pPr>
              <w:spacing w:before="0" w:after="0" w:line="269" w:lineRule="auto"/>
              <w:jc w:val="left"/>
              <w:rPr>
                <w:rFonts w:hint="eastAsia" w:ascii="宋体" w:hAnsi="宋体" w:eastAsia="宋体" w:cs="宋体"/>
                <w:color w:val="000000"/>
                <w:sz w:val="18"/>
                <w:lang w:eastAsia="zh-CN"/>
              </w:rPr>
            </w:pPr>
            <w:r>
              <w:rPr>
                <w:rFonts w:hint="eastAsia" w:ascii="宋体" w:hAnsi="宋体" w:eastAsia="宋体" w:cs="宋体"/>
                <w:color w:val="000000"/>
                <w:sz w:val="18"/>
              </w:rPr>
              <w:t>软件著作权及相关成果材料</w:t>
            </w:r>
          </w:p>
        </w:tc>
        <w:tc>
          <w:tcPr>
            <w:tcW w:w="0" w:type="auto"/>
            <w:shd w:val="clear" w:color="auto" w:fill="F5F9FC"/>
            <w:tcMar>
              <w:top w:w="100" w:type="dxa"/>
              <w:left w:w="120" w:type="dxa"/>
              <w:bottom w:w="100" w:type="dxa"/>
              <w:right w:w="120" w:type="dxa"/>
            </w:tcMar>
            <w:vAlign w:val="center"/>
          </w:tcPr>
          <w:p w14:paraId="74D6D6A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结合最终建设内容，形成智能体集群管理、智能算力调度或相关业务应用的软件著作权申报材料及项目成果总结材料；具体名称和数量以最终建设范围及申报条件为准</w:t>
            </w:r>
          </w:p>
        </w:tc>
      </w:tr>
    </w:tbl>
    <w:p w14:paraId="7F8134E7">
      <w:pPr>
        <w:bidi w:val="0"/>
        <w:rPr>
          <w:rFonts w:hint="default"/>
          <w:lang w:val="en-US" w:eastAsia="zh-CN"/>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B2D94">
    <w:pPr>
      <w:pStyle w:val="10"/>
      <w:pBdr>
        <w:bottom w:val="single" w:color="auto" w:sz="4" w:space="1"/>
      </w:pBdr>
      <w:jc w:val="left"/>
    </w:pPr>
    <w:r>
      <w:drawing>
        <wp:inline distT="0" distB="0" distL="114300" distR="114300">
          <wp:extent cx="1403350" cy="313055"/>
          <wp:effectExtent l="0" t="0" r="19050" b="17145"/>
          <wp:docPr id="7" name="图片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34CE">
    <w:pPr>
      <w:keepNext w:val="0"/>
      <w:keepLines w:val="0"/>
      <w:widowControl/>
      <w:suppressLineNumbers w:val="0"/>
      <w:jc w:val="left"/>
      <w:rPr>
        <w:rFonts w:hint="eastAsia" w:ascii="Arial" w:hAnsi="Arial" w:eastAsia="Arial" w:cs="Arial"/>
        <w:snapToGrid w:val="0"/>
        <w:color w:val="000000"/>
        <w:sz w:val="18"/>
        <w:szCs w:val="21"/>
        <w:lang w:val="en-US" w:eastAsia="en-US" w:bidi="ar-SA"/>
      </w:rPr>
    </w:pPr>
    <w:r>
      <w:drawing>
        <wp:inline distT="0" distB="0" distL="114300" distR="114300">
          <wp:extent cx="1403350" cy="313055"/>
          <wp:effectExtent l="0" t="0" r="19050" b="17145"/>
          <wp:docPr id="6" name="图片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p w14:paraId="38C6142A">
    <w:pPr>
      <w:pStyle w:val="10"/>
      <w:pBdr>
        <w:bottom w:val="single" w:color="auto" w:sz="4" w:space="1"/>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CDCA1"/>
    <w:multiLevelType w:val="singleLevel"/>
    <w:tmpl w:val="B6BCDCA1"/>
    <w:lvl w:ilvl="0" w:tentative="0">
      <w:start w:val="1"/>
      <w:numFmt w:val="bullet"/>
      <w:lvlText w:val=""/>
      <w:lvlJc w:val="left"/>
      <w:pPr>
        <w:ind w:left="420" w:hanging="420"/>
      </w:pPr>
      <w:rPr>
        <w:rFonts w:hint="default" w:ascii="Wingdings" w:hAnsi="Wingdings"/>
      </w:rPr>
    </w:lvl>
  </w:abstractNum>
  <w:abstractNum w:abstractNumId="1">
    <w:nsid w:val="FFF2696F"/>
    <w:multiLevelType w:val="singleLevel"/>
    <w:tmpl w:val="FFF2696F"/>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9"/>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30333"/>
    <w:rsid w:val="1BFA8461"/>
    <w:rsid w:val="1ED080BD"/>
    <w:rsid w:val="1EDF220B"/>
    <w:rsid w:val="1F33375E"/>
    <w:rsid w:val="1FEF9140"/>
    <w:rsid w:val="2DFDEE70"/>
    <w:rsid w:val="2FF94483"/>
    <w:rsid w:val="327DCF2F"/>
    <w:rsid w:val="33DED774"/>
    <w:rsid w:val="375F5D7E"/>
    <w:rsid w:val="379F861E"/>
    <w:rsid w:val="37FF6126"/>
    <w:rsid w:val="3AFF6272"/>
    <w:rsid w:val="3B7F3489"/>
    <w:rsid w:val="3BB5970A"/>
    <w:rsid w:val="3BD61ED1"/>
    <w:rsid w:val="3BFBB2CE"/>
    <w:rsid w:val="3D1710B2"/>
    <w:rsid w:val="3FEB66F4"/>
    <w:rsid w:val="3FEF810B"/>
    <w:rsid w:val="47F2881C"/>
    <w:rsid w:val="47FEB22A"/>
    <w:rsid w:val="49D72C44"/>
    <w:rsid w:val="4DF67666"/>
    <w:rsid w:val="4EF3D872"/>
    <w:rsid w:val="4EFB4673"/>
    <w:rsid w:val="4FBFE9E7"/>
    <w:rsid w:val="4FED1B77"/>
    <w:rsid w:val="4FF85545"/>
    <w:rsid w:val="537FD392"/>
    <w:rsid w:val="53F7EDA9"/>
    <w:rsid w:val="54CF6E6F"/>
    <w:rsid w:val="56FF190F"/>
    <w:rsid w:val="592C72C2"/>
    <w:rsid w:val="5953B797"/>
    <w:rsid w:val="5BE49703"/>
    <w:rsid w:val="5EBF77A5"/>
    <w:rsid w:val="5EDF6142"/>
    <w:rsid w:val="5F7F938E"/>
    <w:rsid w:val="5F976D2F"/>
    <w:rsid w:val="5FF7E1AC"/>
    <w:rsid w:val="66BE2141"/>
    <w:rsid w:val="673F6C1B"/>
    <w:rsid w:val="675FEFC4"/>
    <w:rsid w:val="67FC8D19"/>
    <w:rsid w:val="67FDE435"/>
    <w:rsid w:val="67FFFE4C"/>
    <w:rsid w:val="69FFB10D"/>
    <w:rsid w:val="6AFC7B0E"/>
    <w:rsid w:val="6BBF332B"/>
    <w:rsid w:val="6CF6EB2D"/>
    <w:rsid w:val="6D6E27C5"/>
    <w:rsid w:val="6FEFFA61"/>
    <w:rsid w:val="6FFBBDFA"/>
    <w:rsid w:val="6FFCD85F"/>
    <w:rsid w:val="739EB0DF"/>
    <w:rsid w:val="76EBE406"/>
    <w:rsid w:val="772DB61D"/>
    <w:rsid w:val="773EA5FC"/>
    <w:rsid w:val="77F7231C"/>
    <w:rsid w:val="77FFA482"/>
    <w:rsid w:val="79EF1C98"/>
    <w:rsid w:val="7ABF6117"/>
    <w:rsid w:val="7B56D7F6"/>
    <w:rsid w:val="7BBBD9B1"/>
    <w:rsid w:val="7BC6032B"/>
    <w:rsid w:val="7BC89389"/>
    <w:rsid w:val="7BF3CDD5"/>
    <w:rsid w:val="7D7B1019"/>
    <w:rsid w:val="7DD7CCA1"/>
    <w:rsid w:val="7DFED04C"/>
    <w:rsid w:val="7EDFB97A"/>
    <w:rsid w:val="7EDFBC4C"/>
    <w:rsid w:val="7EED800B"/>
    <w:rsid w:val="7EEF324D"/>
    <w:rsid w:val="7EFF6D6A"/>
    <w:rsid w:val="7FBBDEB0"/>
    <w:rsid w:val="7FBC82B6"/>
    <w:rsid w:val="7FDF81DE"/>
    <w:rsid w:val="7FDFC75B"/>
    <w:rsid w:val="7FEF671B"/>
    <w:rsid w:val="7FF7FA0B"/>
    <w:rsid w:val="88FEE08A"/>
    <w:rsid w:val="99F3ED61"/>
    <w:rsid w:val="9D3C8507"/>
    <w:rsid w:val="9DE3874C"/>
    <w:rsid w:val="9ECF3FE8"/>
    <w:rsid w:val="9FFF566F"/>
    <w:rsid w:val="A7FFF4BD"/>
    <w:rsid w:val="A9F7E814"/>
    <w:rsid w:val="AEFAFB90"/>
    <w:rsid w:val="AFFC33DB"/>
    <w:rsid w:val="B3FBF7F7"/>
    <w:rsid w:val="B4FF3F9E"/>
    <w:rsid w:val="B75DC99A"/>
    <w:rsid w:val="B7FFFDE0"/>
    <w:rsid w:val="BAFB7ACE"/>
    <w:rsid w:val="BB585742"/>
    <w:rsid w:val="BCFE1750"/>
    <w:rsid w:val="BDF87CBE"/>
    <w:rsid w:val="BE3332F9"/>
    <w:rsid w:val="BEB7336A"/>
    <w:rsid w:val="BFDFA24A"/>
    <w:rsid w:val="BFEB228E"/>
    <w:rsid w:val="BFFBA497"/>
    <w:rsid w:val="BFFE4CA0"/>
    <w:rsid w:val="C5BF8391"/>
    <w:rsid w:val="C7EB4D50"/>
    <w:rsid w:val="C7F5855D"/>
    <w:rsid w:val="CBB11D32"/>
    <w:rsid w:val="CD95C1D6"/>
    <w:rsid w:val="CFBF7DB0"/>
    <w:rsid w:val="CFFA54A6"/>
    <w:rsid w:val="D37DEE6F"/>
    <w:rsid w:val="D4ED989D"/>
    <w:rsid w:val="DAE6369A"/>
    <w:rsid w:val="DCCF63B0"/>
    <w:rsid w:val="DD579D3C"/>
    <w:rsid w:val="DDBFC95B"/>
    <w:rsid w:val="DDF1F4B6"/>
    <w:rsid w:val="DDFFB463"/>
    <w:rsid w:val="DE7F52D7"/>
    <w:rsid w:val="DEEB6839"/>
    <w:rsid w:val="DF73EADE"/>
    <w:rsid w:val="DFBF9DEE"/>
    <w:rsid w:val="DFF14DC5"/>
    <w:rsid w:val="E217E932"/>
    <w:rsid w:val="EBBFC750"/>
    <w:rsid w:val="EDBF244F"/>
    <w:rsid w:val="EDFB5A0F"/>
    <w:rsid w:val="EDFFC171"/>
    <w:rsid w:val="EEFB6DA3"/>
    <w:rsid w:val="EEFBDC94"/>
    <w:rsid w:val="EEFF262E"/>
    <w:rsid w:val="EF7FB75B"/>
    <w:rsid w:val="EFAFE33D"/>
    <w:rsid w:val="EFE1BBC1"/>
    <w:rsid w:val="F1F7C533"/>
    <w:rsid w:val="F2B35E7D"/>
    <w:rsid w:val="F36DA31F"/>
    <w:rsid w:val="F5DDF764"/>
    <w:rsid w:val="F77FBF52"/>
    <w:rsid w:val="F7B2A363"/>
    <w:rsid w:val="F7DB4137"/>
    <w:rsid w:val="F7DF443C"/>
    <w:rsid w:val="F7EDE43A"/>
    <w:rsid w:val="F7F68770"/>
    <w:rsid w:val="F7FF715A"/>
    <w:rsid w:val="F936A98B"/>
    <w:rsid w:val="F93DF0FD"/>
    <w:rsid w:val="F975FD7C"/>
    <w:rsid w:val="F9D34781"/>
    <w:rsid w:val="F9D7C7D1"/>
    <w:rsid w:val="FAA2C575"/>
    <w:rsid w:val="FAFF9877"/>
    <w:rsid w:val="FB737F02"/>
    <w:rsid w:val="FBAF3EEC"/>
    <w:rsid w:val="FBB80877"/>
    <w:rsid w:val="FBBB32E2"/>
    <w:rsid w:val="FBE7A758"/>
    <w:rsid w:val="FBF32F41"/>
    <w:rsid w:val="FBFC0752"/>
    <w:rsid w:val="FCD71B3A"/>
    <w:rsid w:val="FDE5B633"/>
    <w:rsid w:val="FDEF3D45"/>
    <w:rsid w:val="FDFFA34C"/>
    <w:rsid w:val="FE2D871E"/>
    <w:rsid w:val="FEFD4627"/>
    <w:rsid w:val="FF3D2033"/>
    <w:rsid w:val="FF7FEEE4"/>
    <w:rsid w:val="FFAFDC94"/>
    <w:rsid w:val="FFDF9697"/>
    <w:rsid w:val="FFEE75F6"/>
    <w:rsid w:val="FFF76FF4"/>
    <w:rsid w:val="FFFF4C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sz w:val="21"/>
      <w:szCs w:val="22"/>
    </w:rPr>
  </w:style>
  <w:style w:type="paragraph" w:styleId="2">
    <w:name w:val="heading 2"/>
    <w:basedOn w:val="1"/>
    <w:next w:val="1"/>
    <w:qFormat/>
    <w:uiPriority w:val="0"/>
    <w:pPr>
      <w:outlineLvl w:val="1"/>
    </w:pPr>
    <w:rPr>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Body Text Indent"/>
    <w:basedOn w:val="1"/>
    <w:qFormat/>
    <w:uiPriority w:val="0"/>
    <w:pPr>
      <w:spacing w:line="200" w:lineRule="exact"/>
      <w:ind w:firstLine="301"/>
    </w:pPr>
    <w:rPr>
      <w:rFonts w:ascii="宋体" w:hAnsi="Courier New"/>
      <w:spacing w:val="-4"/>
      <w:sz w:val="18"/>
      <w:szCs w:val="20"/>
    </w:rPr>
  </w:style>
  <w:style w:type="paragraph" w:styleId="7">
    <w:name w:val="toc 3"/>
    <w:basedOn w:val="1"/>
    <w:next w:val="1"/>
    <w:uiPriority w:val="0"/>
    <w:pPr>
      <w:ind w:left="840" w:leftChars="400"/>
    </w:pPr>
  </w:style>
  <w:style w:type="paragraph" w:styleId="8">
    <w:name w:val="Body Text Indent 2"/>
    <w:basedOn w:val="1"/>
    <w:qFormat/>
    <w:uiPriority w:val="0"/>
    <w:pPr>
      <w:spacing w:line="500" w:lineRule="exact"/>
      <w:ind w:firstLine="540" w:firstLineChars="200"/>
    </w:pPr>
    <w:rPr>
      <w:rFonts w:ascii="宋体" w:hAnsi="宋体"/>
      <w:sz w:val="27"/>
      <w:szCs w:val="27"/>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Body Text First Indent 2"/>
    <w:basedOn w:val="6"/>
    <w:next w:val="8"/>
    <w:unhideWhenUsed/>
    <w:qFormat/>
    <w:uiPriority w:val="99"/>
    <w:pPr>
      <w:ind w:firstLine="420" w:firstLineChars="200"/>
    </w:p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paragraph" w:customStyle="1" w:styleId="19">
    <w:name w:val="Caption Custom"/>
    <w:uiPriority w:val="0"/>
    <w:pPr>
      <w:spacing w:before="60" w:after="180" w:line="276" w:lineRule="auto"/>
      <w:jc w:val="center"/>
    </w:pPr>
    <w:rPr>
      <w:rFonts w:ascii="Arial Unicode MS" w:hAnsi="Arial Unicode MS" w:eastAsia="等线" w:cstheme="minorBidi"/>
      <w:color w:val="6B728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12718</Words>
  <Characters>13010</Characters>
  <TotalTime>2</TotalTime>
  <ScaleCrop>false</ScaleCrop>
  <LinksUpToDate>false</LinksUpToDate>
  <CharactersWithSpaces>14090</CharactersWithSpaces>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2026-06-12T11:26:00Z</dcterms:created>
  <dc:creator>Apache POI</dc:creator>
  <cp:lastModifiedBy>W</cp:lastModifiedBy>
  <dcterms:modified xsi:type="dcterms:W3CDTF">2026-09-22T21:28:01Z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7CFB38B59C5240D4C347B26A3A55708F_43</vt:lpwstr>
  </property>
</Properties>
</file>