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DBAA64">
      <w:pPr>
        <w:bidi w:val="0"/>
        <w:rPr>
          <w:rFonts w:hint="eastAsia" w:ascii="仿宋" w:hAnsi="仿宋" w:eastAsia="仿宋" w:cs="仿宋"/>
          <w:lang w:eastAsia="zh-CN"/>
        </w:rPr>
      </w:pPr>
      <w:bookmarkStart w:id="0" w:name="_Toc30744"/>
      <w:bookmarkStart w:id="1" w:name="_Toc21525"/>
    </w:p>
    <w:p w14:paraId="12554CCC">
      <w:pPr>
        <w:pStyle w:val="14"/>
        <w:ind w:left="0" w:leftChars="0" w:firstLine="0" w:firstLineChars="0"/>
        <w:rPr>
          <w:rFonts w:hint="eastAsia" w:ascii="仿宋" w:hAnsi="仿宋" w:eastAsia="仿宋" w:cs="仿宋"/>
          <w:lang w:eastAsia="zh-CN"/>
        </w:rPr>
      </w:pPr>
    </w:p>
    <w:p w14:paraId="7DD5E69C">
      <w:pPr>
        <w:pStyle w:val="8"/>
        <w:ind w:left="0" w:leftChars="0" w:firstLine="0" w:firstLineChars="0"/>
        <w:outlineLvl w:val="9"/>
        <w:rPr>
          <w:rFonts w:hint="eastAsia" w:ascii="仿宋" w:hAnsi="仿宋" w:eastAsia="仿宋" w:cs="仿宋"/>
          <w:lang w:eastAsia="zh-CN"/>
        </w:rPr>
      </w:pPr>
    </w:p>
    <w:p w14:paraId="106B7D74">
      <w:pPr>
        <w:pStyle w:val="8"/>
        <w:outlineLvl w:val="9"/>
        <w:rPr>
          <w:rFonts w:hint="eastAsia" w:ascii="仿宋" w:hAnsi="仿宋" w:eastAsia="仿宋" w:cs="仿宋"/>
          <w:lang w:eastAsia="zh-CN"/>
        </w:rPr>
      </w:pPr>
    </w:p>
    <w:p w14:paraId="3450020B">
      <w:pPr>
        <w:pStyle w:val="8"/>
        <w:outlineLvl w:val="9"/>
        <w:rPr>
          <w:rFonts w:hint="eastAsia" w:ascii="仿宋" w:hAnsi="仿宋" w:eastAsia="仿宋" w:cs="仿宋"/>
          <w:lang w:eastAsia="zh-CN"/>
        </w:rPr>
      </w:pPr>
    </w:p>
    <w:p w14:paraId="78B757DC">
      <w:pPr>
        <w:spacing w:line="360" w:lineRule="auto"/>
        <w:jc w:val="center"/>
        <w:outlineLvl w:val="9"/>
        <w:rPr>
          <w:rFonts w:hint="eastAsia" w:ascii="黑体" w:hAnsi="黑体" w:eastAsia="黑体" w:cs="黑体"/>
          <w:b w:val="0"/>
          <w:bCs w:val="0"/>
          <w:color w:val="auto"/>
          <w:sz w:val="52"/>
          <w:szCs w:val="52"/>
          <w:highlight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auto"/>
          <w:sz w:val="52"/>
          <w:szCs w:val="52"/>
          <w:highlight w:val="none"/>
          <w:lang w:val="en-US" w:eastAsia="zh-CN"/>
        </w:rPr>
        <w:t>浦江网联试验室</w:t>
      </w:r>
    </w:p>
    <w:p w14:paraId="03507386">
      <w:pPr>
        <w:spacing w:line="360" w:lineRule="auto"/>
        <w:jc w:val="center"/>
        <w:outlineLvl w:val="9"/>
        <w:rPr>
          <w:rFonts w:hint="default" w:ascii="黑体" w:hAnsi="黑体" w:eastAsia="黑体" w:cs="黑体"/>
          <w:b w:val="0"/>
          <w:bCs w:val="0"/>
          <w:color w:val="auto"/>
          <w:sz w:val="52"/>
          <w:szCs w:val="52"/>
          <w:highlight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auto"/>
          <w:sz w:val="52"/>
          <w:szCs w:val="52"/>
          <w:highlight w:val="none"/>
          <w:lang w:val="en-US" w:eastAsia="zh-CN"/>
        </w:rPr>
        <w:t>智能化提升项目（三期）</w:t>
      </w:r>
    </w:p>
    <w:p w14:paraId="5C54B49B">
      <w:pPr>
        <w:spacing w:line="360" w:lineRule="auto"/>
        <w:jc w:val="center"/>
        <w:outlineLvl w:val="9"/>
        <w:rPr>
          <w:rFonts w:hint="eastAsia" w:ascii="黑体" w:hAnsi="黑体" w:eastAsia="黑体" w:cs="黑体"/>
          <w:b w:val="0"/>
          <w:bCs w:val="0"/>
          <w:color w:val="auto"/>
          <w:sz w:val="52"/>
          <w:szCs w:val="52"/>
          <w:highlight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auto"/>
          <w:sz w:val="52"/>
          <w:szCs w:val="52"/>
          <w:highlight w:val="none"/>
          <w:lang w:val="en-US" w:eastAsia="zh-CN"/>
        </w:rPr>
        <w:t>详细报价</w:t>
      </w:r>
    </w:p>
    <w:p w14:paraId="5EAA205B">
      <w:pPr>
        <w:bidi w:val="0"/>
        <w:outlineLvl w:val="9"/>
        <w:rPr>
          <w:rFonts w:hint="eastAsia" w:ascii="黑体" w:hAnsi="黑体" w:eastAsia="黑体" w:cs="黑体"/>
          <w:lang w:eastAsia="zh-CN"/>
        </w:rPr>
      </w:pPr>
    </w:p>
    <w:p w14:paraId="7E6A7042">
      <w:pPr>
        <w:bidi w:val="0"/>
        <w:outlineLvl w:val="9"/>
        <w:rPr>
          <w:rFonts w:hint="eastAsia" w:ascii="黑体" w:hAnsi="黑体" w:eastAsia="黑体" w:cs="黑体"/>
          <w:lang w:eastAsia="zh-CN"/>
        </w:rPr>
      </w:pPr>
    </w:p>
    <w:p w14:paraId="51EED85C">
      <w:pPr>
        <w:pStyle w:val="14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173491C3">
      <w:pPr>
        <w:pStyle w:val="8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74159DDF">
      <w:pPr>
        <w:pStyle w:val="8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4D4907AB">
      <w:pPr>
        <w:pStyle w:val="8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45E6AD8C">
      <w:pPr>
        <w:pStyle w:val="8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43873E80">
      <w:pPr>
        <w:pStyle w:val="8"/>
        <w:ind w:left="0" w:leftChars="0" w:firstLine="0" w:firstLineChars="0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6F7FA06C">
      <w:pPr>
        <w:pStyle w:val="8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66EF2AAA">
      <w:pPr>
        <w:pStyle w:val="8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344B8B96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8" w:line="480" w:lineRule="auto"/>
        <w:jc w:val="center"/>
        <w:textAlignment w:val="baseline"/>
        <w:outlineLvl w:val="9"/>
        <w:rPr>
          <w:rFonts w:hint="eastAsia" w:ascii="黑体" w:hAnsi="黑体" w:eastAsia="黑体" w:cs="黑体"/>
          <w:b w:val="0"/>
          <w:bCs/>
          <w:sz w:val="36"/>
          <w:szCs w:val="36"/>
        </w:rPr>
      </w:pPr>
      <w:r>
        <w:rPr>
          <w:rFonts w:hint="eastAsia" w:ascii="黑体" w:hAnsi="黑体" w:eastAsia="黑体" w:cs="黑体"/>
          <w:b w:val="0"/>
          <w:bCs/>
          <w:sz w:val="36"/>
          <w:szCs w:val="36"/>
          <w:lang w:val="en-US" w:eastAsia="zh-CN"/>
        </w:rPr>
        <w:t>江苏</w:t>
      </w:r>
      <w:r>
        <w:rPr>
          <w:rFonts w:hint="eastAsia" w:ascii="黑体" w:hAnsi="黑体" w:eastAsia="黑体" w:cs="黑体"/>
          <w:b w:val="0"/>
          <w:bCs/>
          <w:sz w:val="36"/>
          <w:szCs w:val="36"/>
        </w:rPr>
        <w:t>正方交通科技有限公司</w:t>
      </w:r>
    </w:p>
    <w:p w14:paraId="1D567C8C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480" w:lineRule="auto"/>
        <w:jc w:val="center"/>
        <w:textAlignment w:val="baseline"/>
        <w:outlineLvl w:val="9"/>
        <w:rPr>
          <w:rFonts w:hint="default" w:ascii="黑体" w:hAnsi="黑体" w:eastAsia="黑体" w:cs="黑体"/>
          <w:b w:val="0"/>
          <w:bCs/>
          <w:kern w:val="2"/>
          <w:sz w:val="36"/>
          <w:szCs w:val="36"/>
          <w:lang w:val="en-US" w:eastAsia="zh-CN" w:bidi="ar-SA"/>
        </w:rPr>
        <w:sectPr>
          <w:headerReference r:id="rId3" w:type="default"/>
          <w:pgSz w:w="11906" w:h="16838"/>
          <w:pgMar w:top="1440" w:right="1800" w:bottom="1440" w:left="1800" w:header="567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425" w:num="1"/>
          <w:docGrid w:type="lines" w:linePitch="312" w:charSpace="0"/>
        </w:sectPr>
      </w:pPr>
      <w:r>
        <w:rPr>
          <w:rFonts w:hint="eastAsia" w:ascii="黑体" w:hAnsi="黑体" w:eastAsia="黑体" w:cs="黑体"/>
          <w:b w:val="0"/>
          <w:bCs/>
          <w:kern w:val="2"/>
          <w:sz w:val="36"/>
          <w:szCs w:val="36"/>
          <w:lang w:val="en-US" w:eastAsia="zh-CN" w:bidi="ar-SA"/>
        </w:rPr>
        <w:t>2026年10</w:t>
      </w:r>
    </w:p>
    <w:bookmarkEnd w:id="0"/>
    <w:bookmarkEnd w:id="1"/>
    <w:sdt>
      <w:sdtPr>
        <w:rPr>
          <w:rFonts w:ascii="宋体" w:hAnsi="宋体" w:eastAsia="宋体"/>
          <w:sz w:val="21"/>
          <w:szCs w:val="22"/>
        </w:rPr>
        <w:id w:val="591240115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/>
          <w:sz w:val="21"/>
          <w:szCs w:val="22"/>
        </w:rPr>
      </w:sdtEndPr>
      <w:sdtContent>
        <w:p w14:paraId="682BBA1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>
          <w:pPr>
            <w:pStyle w:val="11"/>
            <w:tabs>
              <w:tab w:val="right" w:leader="dot" w:pos="8305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_Toc900100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一、编制说明</w:t>
          </w:r>
          <w:r>
            <w:tab/>
          </w:r>
          <w:r>
            <w:fldChar w:fldCharType="begin"/>
          </w:r>
          <w:r>
            <w:instrText xml:space="preserve"> PAGEREF _Toc900100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11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_Toc900101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二、硬件报价</w:t>
          </w:r>
          <w:r>
            <w:tab/>
          </w:r>
          <w:r>
            <w:fldChar w:fldCharType="begin"/>
          </w:r>
          <w:r>
            <w:instrText xml:space="preserve"> PAGEREF _Toc900101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11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_Toc900102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三、软件报价</w:t>
          </w:r>
          <w:r>
            <w:tab/>
          </w:r>
          <w:r>
            <w:fldChar w:fldCharType="begin"/>
          </w:r>
          <w:r>
            <w:instrText xml:space="preserve"> PAGEREF _Toc900102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11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_Toc900103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四、费用汇总</w:t>
          </w:r>
          <w:r>
            <w:tab/>
          </w:r>
          <w:r>
            <w:fldChar w:fldCharType="begin"/>
          </w:r>
          <w:r>
            <w:instrText xml:space="preserve"> PAGEREF _Toc900103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3A8EC1D">
          <w:pPr>
            <w:sectPr>
              <w:headerReference r:id="rId4" w:type="default"/>
              <w:pgSz w:w="11905" w:h="16840"/>
              <w:cols w:space="720" w:num="1"/>
            </w:sectPr>
          </w:pPr>
          <w:r>
            <w:fldChar w:fldCharType="end"/>
          </w:r>
        </w:p>
      </w:sdtContent>
    </w:sdt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0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00" w:name="_Toc900100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一、编制说明</w:t>
      </w:r>
      <w:bookmarkEnd w:id="100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本报价依据《浦江网联试验室智能化提升项目（三期）建设方案》编制，按硬件设备与软件开发两部分逐项列示。平台既有功能已能满足需求的内容，本期不重复建设，也不计入费用。</w:t>
      </w: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0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01" w:name="_Toc900101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二、硬件报价</w:t>
      </w:r>
      <w:bookmarkEnd w:id="101"/>
    </w:p>
    <w:tbl>
      <w:tblPr>
        <w:tblStyle w:val="15"/>
        <w:tblW w:w="8306" w:type="dxa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2"/>
        <w:gridCol w:w="480"/>
        <w:gridCol w:w="912"/>
        <w:gridCol w:w="2400"/>
        <w:gridCol w:w="432"/>
        <w:gridCol w:w="528"/>
        <w:gridCol w:w="960"/>
        <w:gridCol w:w="1008"/>
        <w:gridCol w:w="914"/>
      </w:tblGrid>
      <w:tr>
        <w:trPr>
          <w:cantSplit/>
          <w:tblHeader/>
          <w:jc w:val="center"/>
        </w:trPr>
        <w:tc>
          <w:tcPr>
            <w:tcW w:w="672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名称</w:t>
            </w:r>
          </w:p>
        </w:tc>
        <w:tc>
          <w:tcPr>
            <w:tcW w:w="480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序号</w:t>
            </w:r>
          </w:p>
        </w:tc>
        <w:tc>
          <w:tcPr>
            <w:tcW w:w="912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模块名称</w:t>
            </w:r>
          </w:p>
        </w:tc>
        <w:tc>
          <w:tcPr>
            <w:tcW w:w="2400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项目特征与需求描述</w:t>
            </w:r>
          </w:p>
        </w:tc>
        <w:tc>
          <w:tcPr>
            <w:tcW w:w="432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单位</w:t>
            </w:r>
          </w:p>
        </w:tc>
        <w:tc>
          <w:tcPr>
            <w:tcW w:w="528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工程量</w:t>
            </w:r>
          </w:p>
        </w:tc>
        <w:tc>
          <w:tcPr>
            <w:tcW w:w="960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单价（元）</w:t>
            </w:r>
          </w:p>
        </w:tc>
        <w:tc>
          <w:tcPr>
            <w:tcW w:w="1008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合价（元）</w:t>
            </w:r>
          </w:p>
        </w:tc>
        <w:tc>
          <w:tcPr>
            <w:tcW w:w="914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备注</w:t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样品运输设备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样品运输机器人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X300B工业搬运机器人，含电池、自动回充桩、调度管理系统授权及现场建图调试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台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单台10万元</w:t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门禁与显示设备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运输机器人联动改造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运输路线试验室门体加装联动控制器与电动开门机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扇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8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8,000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64,000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门禁与显示设备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3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委托前台引导屏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55英寸商用显示屏，含支架与安装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台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8,000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8,000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数据采集设备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采集设备与安装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安装采集试验设备与采集程序用于数据通信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台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8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5,000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数量以接入设备为准</w:t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硬件小计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312,000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</w:tbl>
    <w:p>
      <w:pPr>
        <w:spacing w:after="0" w:line="20" w:lineRule="exact"/>
        <w:rPr>
          <w:sz w:val="2"/>
        </w:rPr>
      </w:pP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0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02" w:name="_Toc900102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三、软件报价</w:t>
      </w:r>
      <w:bookmarkEnd w:id="102"/>
    </w:p>
    <w:tbl>
      <w:tblPr>
        <w:tblStyle w:val="15"/>
        <w:tblW w:w="8306" w:type="dxa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2"/>
        <w:gridCol w:w="480"/>
        <w:gridCol w:w="912"/>
        <w:gridCol w:w="2400"/>
        <w:gridCol w:w="432"/>
        <w:gridCol w:w="528"/>
        <w:gridCol w:w="960"/>
        <w:gridCol w:w="1008"/>
        <w:gridCol w:w="914"/>
      </w:tblGrid>
      <w:tr>
        <w:trPr>
          <w:cantSplit/>
          <w:tblHeader/>
          <w:jc w:val="center"/>
        </w:trPr>
        <w:tc>
          <w:tcPr>
            <w:tcW w:w="672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名称</w:t>
            </w:r>
          </w:p>
        </w:tc>
        <w:tc>
          <w:tcPr>
            <w:tcW w:w="480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序号</w:t>
            </w:r>
          </w:p>
        </w:tc>
        <w:tc>
          <w:tcPr>
            <w:tcW w:w="912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模块名称</w:t>
            </w:r>
          </w:p>
        </w:tc>
        <w:tc>
          <w:tcPr>
            <w:tcW w:w="2400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项目特征与需求描述</w:t>
            </w:r>
          </w:p>
        </w:tc>
        <w:tc>
          <w:tcPr>
            <w:tcW w:w="432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单位</w:t>
            </w:r>
          </w:p>
        </w:tc>
        <w:tc>
          <w:tcPr>
            <w:tcW w:w="528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工程量</w:t>
            </w:r>
          </w:p>
        </w:tc>
        <w:tc>
          <w:tcPr>
            <w:tcW w:w="960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单价（元）</w:t>
            </w:r>
          </w:p>
        </w:tc>
        <w:tc>
          <w:tcPr>
            <w:tcW w:w="1008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合价（元）</w:t>
            </w:r>
          </w:p>
        </w:tc>
        <w:tc>
          <w:tcPr>
            <w:tcW w:w="914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备注</w:t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委托受理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扫码预委托App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App端委托填报，支持历史信息自动带出、纸质委托单拍照上传与委托记录查询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50,000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50,000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委托受理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委托数据联动接口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与委托系统的数据同步，委托、样品、检测项目的结构化关联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委托受理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3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委托进度推送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按受理、检测、报告出具等节点通过App或短信推送进度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短信费用按实际发生</w:t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委托受理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引导屏任务展示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委托前台引导屏展示当日及次日试验任务，按试验时间排期滚动显示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任务下发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5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任务自动派发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受理完成后自动生成检测任务并分派试验人员，同步生成运输任务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任务下发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6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移动端任务通知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试验人员移动端任务推送、样品送达提醒与任务确认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15,000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15,000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试验数据采集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7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人工确认与模型迭代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低置信度数据标红提示与人工确认流程，确认数据纳入训练样本迭代识别模型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25,000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25,000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试验数据采集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8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设备通信协议适配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针对万能试验机、压力机等设备开发串口/网口通信协议解析，获取试验曲线与荷载数据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类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按设备类型计</w:t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试验数据采集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9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文件解析与API集成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上位机导出文件（Excel/CSV）自动读取与解析；开放API设备通过HTTP/MQTT对接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试验数据采集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采集数据任务关联与校验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采集数据与委托、样品、任务自动关联，漏采、重复与单位异常提示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15,000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15,000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检测报告生成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11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计算公式与判定阈值配置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常规试验项目计算公式调用与标准限值判定规则配置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25,000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25,000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检测报告生成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12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报告模板引擎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Word/PDF报告模板匹配与数据填充，支持数据表格与试验曲线插入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45,000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45,000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检测报告生成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13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常规试验报告模板配置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按试验项目逐项配置报告模板与字段映射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个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首批10类常规试验</w:t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检测报告生成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14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桥检报告模块集成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将现有桥检报告编制框架作为独立功能入口集成至平台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检测报告生成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15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报告一致性比对与辅助校核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原始数据与报告数据一致性比对、标准限值复核与错误提示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30,000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30,000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智能交互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16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“小浦”业务工具封装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将预委托填报、报告校核等高频操作封装为大模型可调用的工具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17,000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17,000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智能交互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17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委托单信息提取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视觉识别模型提取纸质委托单关键信息并映射至标准表单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智能交互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18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多角色业务查询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面向客户、试验人员、管理人员的自然语言业务查询与汇总答复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智能交互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19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大模型调用服务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按调用量（token）计费，月均约数百元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年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6,000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6,000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首年</w:t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系统对接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机器人调度系统对接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运输任务下发、机器人位置与状态回传、运输记录与委托任务关联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系统对接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21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门禁联动控制接口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调度指令与智能门禁的开关门联动控制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实施服务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22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系统部署与联调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系统部署、配置、全流程联调与试运行保障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实施服务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23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培训服务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面向委托前台人员、试验人员与管理人员的操作培训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次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5,000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软件小计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488,000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</w:tbl>
    <w:p>
      <w:pPr>
        <w:spacing w:after="0" w:line="20" w:lineRule="exact"/>
        <w:rPr>
          <w:sz w:val="2"/>
        </w:rPr>
      </w:pP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0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03" w:name="_Toc900103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四、费用汇总</w:t>
      </w:r>
      <w:bookmarkEnd w:id="103"/>
    </w:p>
    <w:tbl>
      <w:tblPr>
        <w:tblStyle w:val="15"/>
        <w:tblW w:w="8306" w:type="dxa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2"/>
        <w:gridCol w:w="4984"/>
      </w:tblGrid>
      <w:tr>
        <w:trPr>
          <w:cantSplit/>
          <w:tblHeader/>
          <w:jc w:val="center"/>
        </w:trPr>
        <w:tc>
          <w:tcPr>
            <w:tcW w:w="3322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项目</w:t>
            </w:r>
          </w:p>
        </w:tc>
        <w:tc>
          <w:tcPr>
            <w:tcW w:w="4984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金额（元）</w:t>
            </w:r>
          </w:p>
        </w:tc>
      </w:tr>
      <w:tr>
        <w:trPr>
          <w:cantSplit/>
          <w:jc w:val="center"/>
        </w:trPr>
        <w:tc>
          <w:tcPr>
            <w:tcW w:w="332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硬件总价</w:t>
            </w:r>
          </w:p>
        </w:tc>
        <w:tc>
          <w:tcPr>
            <w:tcW w:w="498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312,000</w:t>
            </w:r>
          </w:p>
        </w:tc>
      </w:tr>
      <w:tr>
        <w:trPr>
          <w:cantSplit/>
          <w:jc w:val="center"/>
        </w:trPr>
        <w:tc>
          <w:tcPr>
            <w:tcW w:w="332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软件总价</w:t>
            </w:r>
          </w:p>
        </w:tc>
        <w:tc>
          <w:tcPr>
            <w:tcW w:w="498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488,000</w:t>
            </w:r>
          </w:p>
        </w:tc>
      </w:tr>
      <w:tr>
        <w:trPr>
          <w:cantSplit/>
          <w:jc w:val="center"/>
        </w:trPr>
        <w:tc>
          <w:tcPr>
            <w:tcW w:w="332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合计</w:t>
            </w:r>
          </w:p>
        </w:tc>
        <w:tc>
          <w:tcPr>
            <w:tcW w:w="498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800,000</w:t>
            </w:r>
          </w:p>
        </w:tc>
      </w:tr>
    </w:tbl>
    <w:p>
      <w:pPr>
        <w:spacing w:after="0" w:line="20" w:lineRule="exact"/>
        <w:rPr>
          <w:sz w:val="2"/>
        </w:rPr>
      </w:pPr>
    </w:p>
    <w:sectPr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0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仿宋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AB2D94">
    <w:pPr>
      <w:pStyle w:val="10"/>
      <w:pBdr>
        <w:bottom w:val="single" w:color="auto" w:sz="4" w:space="1"/>
      </w:pBdr>
      <w:jc w:val="left"/>
    </w:pPr>
    <w:r>
      <w:drawing>
        <wp:inline distT="0" distB="0" distL="114300" distR="114300">
          <wp:extent cx="1403350" cy="313055"/>
          <wp:effectExtent l="0" t="0" r="19050" b="17145"/>
          <wp:docPr id="7" name="图片 7" descr="A picture containing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A picture containing text&#10;&#10;Description automatically generated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3350" cy="3130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 xml:space="preserve">                                                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5E34CE">
    <w:pPr>
      <w:keepNext w:val="0"/>
      <w:keepLines w:val="0"/>
      <w:widowControl/>
      <w:suppressLineNumbers w:val="0"/>
      <w:jc w:val="left"/>
      <w:rPr>
        <w:rFonts w:hint="eastAsia" w:ascii="Arial" w:hAnsi="Arial" w:eastAsia="Arial" w:cs="Arial"/>
        <w:snapToGrid w:val="0"/>
        <w:color w:val="000000"/>
        <w:sz w:val="18"/>
        <w:szCs w:val="21"/>
        <w:lang w:val="en-US" w:eastAsia="en-US" w:bidi="ar-SA"/>
      </w:rPr>
    </w:pPr>
    <w:r>
      <w:drawing>
        <wp:inline distT="0" distB="0" distL="114300" distR="114300">
          <wp:extent cx="1403350" cy="313055"/>
          <wp:effectExtent l="0" t="0" r="19050" b="17145"/>
          <wp:docPr id="6" name="图片 6" descr="A picture containing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A picture containing text&#10;&#10;Description automatically generated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3350" cy="3130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 xml:space="preserve">                                            </w:t>
    </w:r>
  </w:p>
  <w:p w14:paraId="38C6142A">
    <w:pPr>
      <w:pStyle w:val="10"/>
      <w:pBdr>
        <w:bottom w:val="single" w:color="auto" w:sz="4" w:space="1"/>
      </w:pBdr>
      <w:jc w:val="lef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6BCDCA1"/>
    <w:multiLevelType w:val="singleLevel"/>
    <w:tmpl w:val="B6BCDCA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FFF2696F"/>
    <w:multiLevelType w:val="singleLevel"/>
    <w:tmpl w:val="FFF2696F"/>
    <w:lvl w:ilvl="0" w:tentative="0">
      <w:start w:val="1"/>
      <w:numFmt w:val="bullet"/>
      <w:pStyle w:val="5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9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630333"/>
    <w:rsid w:val="1BFA8461"/>
    <w:rsid w:val="1ED080BD"/>
    <w:rsid w:val="1EDF220B"/>
    <w:rsid w:val="1F33375E"/>
    <w:rsid w:val="1FEF9140"/>
    <w:rsid w:val="2DFDEE70"/>
    <w:rsid w:val="2FF94483"/>
    <w:rsid w:val="327DCF2F"/>
    <w:rsid w:val="33DED774"/>
    <w:rsid w:val="375F5D7E"/>
    <w:rsid w:val="379F861E"/>
    <w:rsid w:val="37FF6126"/>
    <w:rsid w:val="3AFF6272"/>
    <w:rsid w:val="3B7F3489"/>
    <w:rsid w:val="3BB5970A"/>
    <w:rsid w:val="3BD61ED1"/>
    <w:rsid w:val="3BFBB2CE"/>
    <w:rsid w:val="3D1710B2"/>
    <w:rsid w:val="3FEB66F4"/>
    <w:rsid w:val="3FEF810B"/>
    <w:rsid w:val="47F2881C"/>
    <w:rsid w:val="47FEB22A"/>
    <w:rsid w:val="49D72C44"/>
    <w:rsid w:val="4DF67666"/>
    <w:rsid w:val="4EF3D872"/>
    <w:rsid w:val="4EFB4673"/>
    <w:rsid w:val="4FBFE9E7"/>
    <w:rsid w:val="4FED1B77"/>
    <w:rsid w:val="4FF85545"/>
    <w:rsid w:val="537FD392"/>
    <w:rsid w:val="53F7EDA9"/>
    <w:rsid w:val="54CF6E6F"/>
    <w:rsid w:val="56FF190F"/>
    <w:rsid w:val="592C72C2"/>
    <w:rsid w:val="5953B797"/>
    <w:rsid w:val="5BE49703"/>
    <w:rsid w:val="5EBF77A5"/>
    <w:rsid w:val="5EDF6142"/>
    <w:rsid w:val="5F7F938E"/>
    <w:rsid w:val="5F976D2F"/>
    <w:rsid w:val="5FF7E1AC"/>
    <w:rsid w:val="66BE2141"/>
    <w:rsid w:val="673F6C1B"/>
    <w:rsid w:val="675FEFC4"/>
    <w:rsid w:val="67FC8D19"/>
    <w:rsid w:val="67FDE435"/>
    <w:rsid w:val="67FFFE4C"/>
    <w:rsid w:val="69FFB10D"/>
    <w:rsid w:val="6AFC7B0E"/>
    <w:rsid w:val="6BBF332B"/>
    <w:rsid w:val="6CF6EB2D"/>
    <w:rsid w:val="6D6E27C5"/>
    <w:rsid w:val="6FEFFA61"/>
    <w:rsid w:val="6FFBBDFA"/>
    <w:rsid w:val="6FFCD85F"/>
    <w:rsid w:val="739EB0DF"/>
    <w:rsid w:val="76EBE406"/>
    <w:rsid w:val="772DB61D"/>
    <w:rsid w:val="773EA5FC"/>
    <w:rsid w:val="77F7231C"/>
    <w:rsid w:val="77FFA482"/>
    <w:rsid w:val="79EF1C98"/>
    <w:rsid w:val="7ABF6117"/>
    <w:rsid w:val="7B56D7F6"/>
    <w:rsid w:val="7BBBD9B1"/>
    <w:rsid w:val="7BC6032B"/>
    <w:rsid w:val="7BC89389"/>
    <w:rsid w:val="7BF3CDD5"/>
    <w:rsid w:val="7D7B1019"/>
    <w:rsid w:val="7DD7CCA1"/>
    <w:rsid w:val="7DFED04C"/>
    <w:rsid w:val="7EDFB97A"/>
    <w:rsid w:val="7EDFBC4C"/>
    <w:rsid w:val="7EED800B"/>
    <w:rsid w:val="7EEF324D"/>
    <w:rsid w:val="7EFF6D6A"/>
    <w:rsid w:val="7FBBDEB0"/>
    <w:rsid w:val="7FBC82B6"/>
    <w:rsid w:val="7FDF81DE"/>
    <w:rsid w:val="7FDFC75B"/>
    <w:rsid w:val="7FEF671B"/>
    <w:rsid w:val="7FF7FA0B"/>
    <w:rsid w:val="88FEE08A"/>
    <w:rsid w:val="99F3ED61"/>
    <w:rsid w:val="9D3C8507"/>
    <w:rsid w:val="9DE3874C"/>
    <w:rsid w:val="9ECF3FE8"/>
    <w:rsid w:val="9FFF566F"/>
    <w:rsid w:val="A7FFF4BD"/>
    <w:rsid w:val="A9F7E814"/>
    <w:rsid w:val="AEFAFB90"/>
    <w:rsid w:val="AFFC33DB"/>
    <w:rsid w:val="B3FBF7F7"/>
    <w:rsid w:val="B4FF3F9E"/>
    <w:rsid w:val="B75DC99A"/>
    <w:rsid w:val="B7FFFDE0"/>
    <w:rsid w:val="BAFB7ACE"/>
    <w:rsid w:val="BB585742"/>
    <w:rsid w:val="BCFE1750"/>
    <w:rsid w:val="BDF87CBE"/>
    <w:rsid w:val="BE3332F9"/>
    <w:rsid w:val="BEB7336A"/>
    <w:rsid w:val="BFDFA24A"/>
    <w:rsid w:val="BFEB228E"/>
    <w:rsid w:val="BFFBA497"/>
    <w:rsid w:val="BFFE4CA0"/>
    <w:rsid w:val="C5BF8391"/>
    <w:rsid w:val="C7EB4D50"/>
    <w:rsid w:val="C7F5855D"/>
    <w:rsid w:val="CBB11D32"/>
    <w:rsid w:val="CD95C1D6"/>
    <w:rsid w:val="CFBF7DB0"/>
    <w:rsid w:val="CFFA54A6"/>
    <w:rsid w:val="D37DEE6F"/>
    <w:rsid w:val="D4ED989D"/>
    <w:rsid w:val="DAE6369A"/>
    <w:rsid w:val="DCCF63B0"/>
    <w:rsid w:val="DD579D3C"/>
    <w:rsid w:val="DDBFC95B"/>
    <w:rsid w:val="DDF1F4B6"/>
    <w:rsid w:val="DDFFB463"/>
    <w:rsid w:val="DE7F52D7"/>
    <w:rsid w:val="DEEB6839"/>
    <w:rsid w:val="DF73EADE"/>
    <w:rsid w:val="DFBF9DEE"/>
    <w:rsid w:val="DFF14DC5"/>
    <w:rsid w:val="E217E932"/>
    <w:rsid w:val="EBBFC750"/>
    <w:rsid w:val="EDBF244F"/>
    <w:rsid w:val="EDFB5A0F"/>
    <w:rsid w:val="EDFFC171"/>
    <w:rsid w:val="EEFB6DA3"/>
    <w:rsid w:val="EEFBDC94"/>
    <w:rsid w:val="EEFF262E"/>
    <w:rsid w:val="EF7FB75B"/>
    <w:rsid w:val="EFAFE33D"/>
    <w:rsid w:val="EFE1BBC1"/>
    <w:rsid w:val="F1F7C533"/>
    <w:rsid w:val="F2B35E7D"/>
    <w:rsid w:val="F36DA31F"/>
    <w:rsid w:val="F5DDF764"/>
    <w:rsid w:val="F77FBF52"/>
    <w:rsid w:val="F7B2A363"/>
    <w:rsid w:val="F7DB4137"/>
    <w:rsid w:val="F7DF443C"/>
    <w:rsid w:val="F7EDE43A"/>
    <w:rsid w:val="F7F68770"/>
    <w:rsid w:val="F7FF715A"/>
    <w:rsid w:val="F936A98B"/>
    <w:rsid w:val="F93DF0FD"/>
    <w:rsid w:val="F975FD7C"/>
    <w:rsid w:val="F9D34781"/>
    <w:rsid w:val="F9D7C7D1"/>
    <w:rsid w:val="FAA2C575"/>
    <w:rsid w:val="FAFF9877"/>
    <w:rsid w:val="FB737F02"/>
    <w:rsid w:val="FBAF3EEC"/>
    <w:rsid w:val="FBB80877"/>
    <w:rsid w:val="FBBB32E2"/>
    <w:rsid w:val="FBE7A758"/>
    <w:rsid w:val="FBF32F41"/>
    <w:rsid w:val="FBFC0752"/>
    <w:rsid w:val="FCD71B3A"/>
    <w:rsid w:val="FDE5B633"/>
    <w:rsid w:val="FDEF3D45"/>
    <w:rsid w:val="FDFFA34C"/>
    <w:rsid w:val="FE2D871E"/>
    <w:rsid w:val="FEFD4627"/>
    <w:rsid w:val="FF3D2033"/>
    <w:rsid w:val="FF7FEEE4"/>
    <w:rsid w:val="FFAFDC94"/>
    <w:rsid w:val="FFDF9697"/>
    <w:rsid w:val="FFEE75F6"/>
    <w:rsid w:val="FFF76FF4"/>
    <w:rsid w:val="FFFF4CE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qFormat="1" w:uiPriority="99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sz w:val="21"/>
      <w:szCs w:val="22"/>
    </w:rPr>
  </w:style>
  <w:style w:type="paragraph" w:styleId="2">
    <w:name w:val="heading 2"/>
    <w:basedOn w:val="1"/>
    <w:next w:val="1"/>
    <w:qFormat/>
    <w:uiPriority w:val="0"/>
    <w:pPr>
      <w:outlineLvl w:val="1"/>
    </w:pPr>
    <w:rPr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7">
    <w:name w:val="Default Paragraph Font"/>
    <w:semiHidden/>
    <w:uiPriority w:val="0"/>
  </w:style>
  <w:style w:type="table" w:default="1" w:styleId="1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List Bullet"/>
    <w:basedOn w:val="1"/>
    <w:uiPriority w:val="0"/>
    <w:pPr>
      <w:numPr>
        <w:ilvl w:val="0"/>
        <w:numId w:val="1"/>
      </w:numPr>
    </w:pPr>
  </w:style>
  <w:style w:type="paragraph" w:styleId="6">
    <w:name w:val="Body Text Indent"/>
    <w:basedOn w:val="1"/>
    <w:qFormat/>
    <w:uiPriority w:val="0"/>
    <w:pPr>
      <w:spacing w:line="200" w:lineRule="exact"/>
      <w:ind w:firstLine="301"/>
    </w:pPr>
    <w:rPr>
      <w:rFonts w:ascii="宋体" w:hAnsi="Courier New"/>
      <w:spacing w:val="-4"/>
      <w:sz w:val="18"/>
      <w:szCs w:val="20"/>
    </w:rPr>
  </w:style>
  <w:style w:type="paragraph" w:styleId="7">
    <w:name w:val="toc 3"/>
    <w:basedOn w:val="1"/>
    <w:next w:val="1"/>
    <w:uiPriority w:val="0"/>
    <w:pPr>
      <w:ind w:left="840" w:leftChars="400"/>
    </w:pPr>
  </w:style>
  <w:style w:type="paragraph" w:styleId="8">
    <w:name w:val="Body Text Indent 2"/>
    <w:basedOn w:val="1"/>
    <w:qFormat/>
    <w:uiPriority w:val="0"/>
    <w:pPr>
      <w:spacing w:line="500" w:lineRule="exact"/>
      <w:ind w:firstLine="540" w:firstLineChars="200"/>
    </w:pPr>
    <w:rPr>
      <w:rFonts w:ascii="宋体" w:hAnsi="宋体"/>
      <w:sz w:val="27"/>
      <w:szCs w:val="27"/>
    </w:rPr>
  </w:style>
  <w:style w:type="paragraph" w:styleId="9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1">
    <w:name w:val="toc 1"/>
    <w:basedOn w:val="1"/>
    <w:next w:val="1"/>
    <w:uiPriority w:val="0"/>
  </w:style>
  <w:style w:type="paragraph" w:styleId="12">
    <w:name w:val="toc 2"/>
    <w:basedOn w:val="1"/>
    <w:next w:val="1"/>
    <w:uiPriority w:val="0"/>
    <w:pPr>
      <w:ind w:left="420" w:leftChars="200"/>
    </w:pPr>
  </w:style>
  <w:style w:type="paragraph" w:styleId="1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4">
    <w:name w:val="Body Text First Indent 2"/>
    <w:basedOn w:val="6"/>
    <w:next w:val="8"/>
    <w:unhideWhenUsed/>
    <w:qFormat/>
    <w:uiPriority w:val="99"/>
    <w:pPr>
      <w:ind w:firstLine="420" w:firstLineChars="200"/>
    </w:pPr>
  </w:style>
  <w:style w:type="table" w:styleId="16">
    <w:name w:val="Table Grid"/>
    <w:basedOn w:val="15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qFormat/>
    <w:uiPriority w:val="0"/>
    <w:rPr>
      <w:b/>
    </w:rPr>
  </w:style>
  <w:style w:type="paragraph" w:customStyle="1" w:styleId="19">
    <w:name w:val="Caption Custom"/>
    <w:uiPriority w:val="0"/>
    <w:pPr>
      <w:spacing w:before="60" w:after="180" w:line="276" w:lineRule="auto"/>
      <w:jc w:val="center"/>
    </w:pPr>
    <w:rPr>
      <w:rFonts w:ascii="Arial Unicode MS" w:hAnsi="Arial Unicode MS" w:eastAsia="等线" w:cstheme="minorBidi"/>
      <w:color w:val="6B7280"/>
      <w:sz w:val="18"/>
      <w:szCs w:val="22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5" Type="http://schemas.openxmlformats.org/officeDocument/2006/relationships/theme" Target="theme/theme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21</Pages>
  <Words>12718</Words>
  <Characters>13010</Characters>
  <TotalTime>2</TotalTime>
  <ScaleCrop>false</ScaleCrop>
  <LinksUpToDate>false</LinksUpToDate>
  <CharactersWithSpaces>14090</CharactersWithSpaces>
  <Application>WPS Office_12.1.26055.26055_F1E327BC-269C-435d-A152-05C5408002CA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2026-06-12T11:26:00Z</dcterms:created>
  <dc:creator>Apache POI</dc:creator>
  <cp:lastModifiedBy>W</cp:lastModifiedBy>
  <dcterms:modified xsi:type="dcterms:W3CDTF">2026-09-22T21:28:01Z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2052-12.1.26055.26055</vt:lpwstr>
  </property>
  <property fmtid="{D5CDD505-2E9C-101B-9397-08002B2CF9AE}" pid="3" name="ICV">
    <vt:lpwstr>7CFB38B59C5240D4C347B26A3A55708F_43</vt:lpwstr>
  </property>
</Properties>
</file>