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40"/>
        <w:jc w:val="center"/>
      </w:pPr>
      <w:r>
        <w:rPr>
          <w:rFonts w:ascii="宋体" w:hAnsi="宋体" w:eastAsia="宋体"/>
          <w:b/>
          <w:sz w:val="36"/>
        </w:rPr>
        <w:t>浦江网联试验室智能化提升项目（三期）</w:t>
      </w:r>
    </w:p>
    <w:p>
      <w:pPr>
        <w:spacing w:line="360" w:lineRule="auto" w:after="40"/>
        <w:jc w:val="center"/>
      </w:pPr>
      <w:r>
        <w:rPr>
          <w:rFonts w:ascii="宋体" w:hAnsi="宋体" w:eastAsia="宋体"/>
          <w:b/>
          <w:sz w:val="36"/>
        </w:rPr>
        <w:t>费用估算</w:t>
      </w:r>
    </w:p>
    <w:p>
      <w:pPr>
        <w:spacing w:line="360" w:lineRule="auto" w:after="280"/>
        <w:jc w:val="center"/>
      </w:pPr>
      <w:r>
        <w:rPr>
          <w:rFonts w:ascii="宋体" w:hAnsi="宋体" w:eastAsia="宋体"/>
          <w:b w:val="0"/>
          <w:sz w:val="24"/>
        </w:rPr>
        <w:t>江苏正方交通科技有限公司    2026年10月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8"/>
        </w:rPr>
        <w:t>一、编制说明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本估算依据《浦江网联试验室智能化提升项目（三期）建设方案》编制，按硬件设备与软件开发两部分汇总。软件部分按功能模块归并列示；平台既有功能已能满足需求的内容，本期不重复建设，也不计入费用。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8"/>
        </w:rPr>
        <w:t>二、硬件费用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3628"/>
        <w:gridCol w:w="680"/>
        <w:gridCol w:w="680"/>
        <w:gridCol w:w="1247"/>
        <w:gridCol w:w="1361"/>
      </w:tblGrid>
      <w:tr>
        <w:tc>
          <w:tcPr>
            <w:tcW w:type="dxa" w:w="1474"/>
            <w:shd w:val="clear" w:color="auto" w:fill="17365D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类别</w:t>
            </w:r>
          </w:p>
        </w:tc>
        <w:tc>
          <w:tcPr>
            <w:tcW w:type="dxa" w:w="3628"/>
            <w:shd w:val="clear" w:color="auto" w:fill="17365D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内容</w:t>
            </w:r>
          </w:p>
        </w:tc>
        <w:tc>
          <w:tcPr>
            <w:tcW w:type="dxa" w:w="680"/>
            <w:shd w:val="clear" w:color="auto" w:fill="17365D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单位</w:t>
            </w:r>
          </w:p>
        </w:tc>
        <w:tc>
          <w:tcPr>
            <w:tcW w:type="dxa" w:w="680"/>
            <w:shd w:val="clear" w:color="auto" w:fill="17365D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数量</w:t>
            </w:r>
          </w:p>
        </w:tc>
        <w:tc>
          <w:tcPr>
            <w:tcW w:type="dxa" w:w="1247"/>
            <w:shd w:val="clear" w:color="auto" w:fill="17365D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单价（元）</w:t>
            </w:r>
          </w:p>
        </w:tc>
        <w:tc>
          <w:tcPr>
            <w:tcW w:type="dxa" w:w="1361"/>
            <w:shd w:val="clear" w:color="auto" w:fill="17365D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合价（元）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样品运输设备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X300B工业搬运机器人（含电池、自动回充桩、调度管理系统授权及现场建图调试）</w:t>
            </w:r>
          </w:p>
        </w:tc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台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1"/>
              </w:rPr>
              <w:t>100,000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1"/>
              </w:rPr>
              <w:t>200,000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门禁与显示设备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运输路线试验室门体联动改造（联动控制器与电动开门机）</w:t>
            </w:r>
          </w:p>
        </w:tc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扇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1"/>
              </w:rPr>
              <w:t>6,000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1"/>
              </w:rPr>
              <w:t>24,000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门禁与显示设备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委托前台引导屏（55英寸，含支架与安装）</w:t>
            </w:r>
          </w:p>
        </w:tc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台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1"/>
              </w:rPr>
              <w:t>8,000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1"/>
              </w:rPr>
              <w:t>8,000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数据采集设备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边缘采集网关（RS232/RS485串口与以太网接口）</w:t>
            </w:r>
          </w:p>
        </w:tc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台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1"/>
              </w:rPr>
              <w:t>3,000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1"/>
              </w:rPr>
              <w:t>12,000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硬件小计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</w:r>
          </w:p>
        </w:tc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宋体" w:hAnsi="宋体" w:eastAsia="宋体"/>
                <w:b/>
                <w:sz w:val="21"/>
              </w:rPr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宋体" w:hAnsi="宋体" w:eastAsia="宋体"/>
                <w:b/>
                <w:sz w:val="21"/>
              </w:rPr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宋体" w:hAnsi="宋体" w:eastAsia="宋体"/>
                <w:b/>
                <w:sz w:val="21"/>
              </w:rPr>
              <w:t>244,000</w:t>
            </w:r>
          </w:p>
        </w:tc>
      </w:tr>
    </w:tbl>
    <w:p/>
    <w:p>
      <w:pPr>
        <w:spacing w:line="360" w:lineRule="auto" w:after="120"/>
      </w:pPr>
      <w:r>
        <w:rPr>
          <w:rFonts w:ascii="宋体" w:hAnsi="宋体" w:eastAsia="宋体"/>
          <w:b/>
          <w:sz w:val="28"/>
        </w:rPr>
        <w:t>三、软件费用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1587"/>
        <w:gridCol w:w="5329"/>
        <w:gridCol w:w="1474"/>
      </w:tblGrid>
      <w:tr>
        <w:tc>
          <w:tcPr>
            <w:tcW w:type="dxa" w:w="680"/>
            <w:shd w:val="clear" w:color="auto" w:fill="17365D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序号</w:t>
            </w:r>
          </w:p>
        </w:tc>
        <w:tc>
          <w:tcPr>
            <w:tcW w:type="dxa" w:w="1587"/>
            <w:shd w:val="clear" w:color="auto" w:fill="17365D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模块</w:t>
            </w:r>
          </w:p>
        </w:tc>
        <w:tc>
          <w:tcPr>
            <w:tcW w:type="dxa" w:w="5329"/>
            <w:shd w:val="clear" w:color="auto" w:fill="17365D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建设内容</w:t>
            </w:r>
          </w:p>
        </w:tc>
        <w:tc>
          <w:tcPr>
            <w:tcW w:type="dxa" w:w="1474"/>
            <w:shd w:val="clear" w:color="auto" w:fill="17365D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费用（元）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委托受理</w:t>
            </w:r>
          </w:p>
        </w:tc>
        <w:tc>
          <w:tcPr>
            <w:tcW w:type="dxa" w:w="532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App端委托填报、历史信息带出、委托数据联动接口、委托进度推送、引导屏任务展示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1"/>
              </w:rPr>
              <w:t>90,000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任务下发</w:t>
            </w:r>
          </w:p>
        </w:tc>
        <w:tc>
          <w:tcPr>
            <w:tcW w:type="dxa" w:w="532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检测任务与运输任务自动派发、试验人员移动端任务通知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1"/>
              </w:rPr>
              <w:t>35,000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试验数据采集</w:t>
            </w:r>
          </w:p>
        </w:tc>
        <w:tc>
          <w:tcPr>
            <w:tcW w:type="dxa" w:w="532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识别结果人工确认与模型迭代、设备通信协议适配、文件解析与API集成、采集数据关联与校验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1"/>
              </w:rPr>
              <w:t>95,000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检测报告生成</w:t>
            </w:r>
          </w:p>
        </w:tc>
        <w:tc>
          <w:tcPr>
            <w:tcW w:type="dxa" w:w="532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计算公式与判定阈值配置、报告模板引擎、10类常规试验报告模板配置、桥检报告模块集成、报告一致性比对与辅助校核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1"/>
              </w:rPr>
              <w:t>135,000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智能交互</w:t>
            </w:r>
          </w:p>
        </w:tc>
        <w:tc>
          <w:tcPr>
            <w:tcW w:type="dxa" w:w="532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“小浦”业务工具封装、委托单信息提取、多角色业务查询、大模型调用服务（首年）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1"/>
              </w:rPr>
              <w:t>41,000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系统对接</w:t>
            </w:r>
          </w:p>
        </w:tc>
        <w:tc>
          <w:tcPr>
            <w:tcW w:type="dxa" w:w="532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机器人调度系统对接、门禁联动控制接口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1"/>
              </w:rPr>
              <w:t>30,000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实施服务</w:t>
            </w:r>
          </w:p>
        </w:tc>
        <w:tc>
          <w:tcPr>
            <w:tcW w:type="dxa" w:w="532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系统部署与联调、操作培训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1"/>
              </w:rPr>
              <w:t>30,000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软件小计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</w:r>
          </w:p>
        </w:tc>
        <w:tc>
          <w:tcPr>
            <w:tcW w:type="dxa" w:w="5329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宋体" w:hAnsi="宋体" w:eastAsia="宋体"/>
                <w:b/>
                <w:sz w:val="21"/>
              </w:rPr>
              <w:t>456,000</w:t>
            </w:r>
          </w:p>
        </w:tc>
      </w:tr>
    </w:tbl>
    <w:p/>
    <w:p>
      <w:pPr>
        <w:spacing w:line="360" w:lineRule="auto" w:after="120"/>
      </w:pPr>
      <w:r>
        <w:rPr>
          <w:rFonts w:ascii="宋体" w:hAnsi="宋体" w:eastAsia="宋体"/>
          <w:b/>
          <w:sz w:val="28"/>
        </w:rPr>
        <w:t>四、费用汇总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5"/>
        <w:gridCol w:w="2835"/>
      </w:tblGrid>
      <w:tr>
        <w:tc>
          <w:tcPr>
            <w:tcW w:type="dxa" w:w="4535"/>
            <w:shd w:val="clear" w:color="auto" w:fill="17365D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2835"/>
            <w:shd w:val="clear" w:color="auto" w:fill="17365D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金额（元）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硬件费用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1"/>
              </w:rPr>
              <w:t>244,000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软件费用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rFonts w:ascii="宋体" w:hAnsi="宋体" w:eastAsia="宋体"/>
                <w:b w:val="0"/>
                <w:sz w:val="21"/>
              </w:rPr>
              <w:t>456,000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合计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rFonts w:ascii="宋体" w:hAnsi="宋体" w:eastAsia="宋体"/>
                <w:b/>
                <w:sz w:val="21"/>
              </w:rPr>
              <w:t>700,000</w:t>
            </w:r>
          </w:p>
        </w:tc>
      </w:tr>
    </w:tbl>
    <w:p/>
    <w:p>
      <w:pPr>
        <w:spacing w:line="360" w:lineRule="auto" w:after="120"/>
      </w:pPr>
      <w:r>
        <w:rPr>
          <w:rFonts w:ascii="宋体" w:hAnsi="宋体" w:eastAsia="宋体"/>
          <w:b/>
          <w:sz w:val="28"/>
        </w:rPr>
        <w:t>五、其他说明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1. 大模型调用费用按实际调用量（token）计费，首年按6,000元估列，计入软件部分；单位无需另行采购算力设备。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2. 委托进度短信通知如启用，短信费用按实际发生结算，不计入上述金额。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3. 边缘采集网关数量以实际接入的试验设备数量为准，据实调整。</w:t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