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A310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Synthèse : Le Modèle Relationnel (Chapitre 2)</w:t>
      </w:r>
    </w:p>
    <w:p w14:paraId="076D9108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1. Introduction et Objectifs</w:t>
      </w:r>
    </w:p>
    <w:p w14:paraId="116188D2" w14:textId="77777777" w:rsidR="003269EB" w:rsidRPr="003269EB" w:rsidRDefault="003269EB" w:rsidP="003269EB">
      <w:r w:rsidRPr="003269EB">
        <w:t xml:space="preserve">Le modèle relationnel, proposé par Edgar F. Codd en 1970 </w:t>
      </w:r>
      <w:r w:rsidRPr="003269EB">
        <w:rPr>
          <w:vertAlign w:val="superscript"/>
        </w:rPr>
        <w:t>1</w:t>
      </w:r>
      <w:r w:rsidRPr="003269EB">
        <w:t>, est une méthode d'organisation des données fondée sur la théorie des ensembles</w:t>
      </w:r>
      <w:r w:rsidRPr="003269EB">
        <w:rPr>
          <w:vertAlign w:val="superscript"/>
        </w:rPr>
        <w:t>2</w:t>
      </w:r>
      <w:r w:rsidRPr="003269EB">
        <w:t>.</w:t>
      </w:r>
    </w:p>
    <w:p w14:paraId="65CA9A82" w14:textId="77777777" w:rsidR="003269EB" w:rsidRPr="003269EB" w:rsidRDefault="003269EB" w:rsidP="003269EB">
      <w:r w:rsidRPr="003269EB">
        <w:rPr>
          <w:b/>
          <w:bCs/>
        </w:rPr>
        <w:t>Objectifs principaux :</w:t>
      </w:r>
    </w:p>
    <w:p w14:paraId="28964C3D" w14:textId="77777777" w:rsidR="003269EB" w:rsidRPr="003269EB" w:rsidRDefault="003269EB" w:rsidP="003269EB">
      <w:pPr>
        <w:numPr>
          <w:ilvl w:val="0"/>
          <w:numId w:val="1"/>
        </w:numPr>
      </w:pPr>
      <w:r w:rsidRPr="003269EB">
        <w:rPr>
          <w:b/>
          <w:bCs/>
        </w:rPr>
        <w:t>Indépendance physique/logique :</w:t>
      </w:r>
      <w:r w:rsidRPr="003269EB">
        <w:t xml:space="preserve"> Séparer la vision des données par les applications de leur stockage physique (fichiers, index)</w:t>
      </w:r>
      <w:r w:rsidRPr="003269EB">
        <w:rPr>
          <w:vertAlign w:val="superscript"/>
        </w:rPr>
        <w:t>3</w:t>
      </w:r>
      <w:r w:rsidRPr="003269EB">
        <w:t>.</w:t>
      </w:r>
    </w:p>
    <w:p w14:paraId="28F77FED" w14:textId="77777777" w:rsidR="003269EB" w:rsidRPr="003269EB" w:rsidRDefault="003269EB" w:rsidP="003269EB">
      <w:pPr>
        <w:numPr>
          <w:ilvl w:val="0"/>
          <w:numId w:val="1"/>
        </w:numPr>
      </w:pPr>
      <w:r w:rsidRPr="003269EB">
        <w:rPr>
          <w:b/>
          <w:bCs/>
        </w:rPr>
        <w:t>Cohérence et non-redondance :</w:t>
      </w:r>
      <w:r w:rsidRPr="003269EB">
        <w:t xml:space="preserve"> Fournir des outils pour éviter la répétition inutile d'informations et garantir que les données restent logiques</w:t>
      </w:r>
      <w:r w:rsidRPr="003269EB">
        <w:rPr>
          <w:vertAlign w:val="superscript"/>
        </w:rPr>
        <w:t>4</w:t>
      </w:r>
      <w:r w:rsidRPr="003269EB">
        <w:t>.</w:t>
      </w:r>
    </w:p>
    <w:p w14:paraId="39F370AE" w14:textId="77777777" w:rsidR="003269EB" w:rsidRPr="003269EB" w:rsidRDefault="003269EB" w:rsidP="003269EB">
      <w:pPr>
        <w:numPr>
          <w:ilvl w:val="0"/>
          <w:numId w:val="1"/>
        </w:numPr>
      </w:pPr>
      <w:r w:rsidRPr="003269EB">
        <w:rPr>
          <w:b/>
          <w:bCs/>
        </w:rPr>
        <w:t>Manipulation :</w:t>
      </w:r>
      <w:r w:rsidRPr="003269EB">
        <w:t xml:space="preserve"> Permettre l'utilisation d'un langage standardisé de haut niveau (SQL) basé sur l'algèbre relationnelle</w:t>
      </w:r>
      <w:r w:rsidRPr="003269EB">
        <w:rPr>
          <w:vertAlign w:val="superscript"/>
        </w:rPr>
        <w:t>5</w:t>
      </w:r>
      <w:r w:rsidRPr="003269EB">
        <w:t>.</w:t>
      </w:r>
    </w:p>
    <w:p w14:paraId="4B3684EC" w14:textId="77777777" w:rsidR="003269EB" w:rsidRPr="003269EB" w:rsidRDefault="003269EB" w:rsidP="003269EB">
      <w:r w:rsidRPr="003269EB">
        <w:pict w14:anchorId="2A04F79A">
          <v:rect id="_x0000_i1055" style="width:0;height:1.5pt" o:hralign="center" o:hrstd="t" o:hr="t" fillcolor="#a0a0a0" stroked="f"/>
        </w:pict>
      </w:r>
    </w:p>
    <w:p w14:paraId="0596370B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2. Concepts Fondamentaux et Définitions</w:t>
      </w:r>
    </w:p>
    <w:p w14:paraId="6ECA4449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A. La Structure de base</w:t>
      </w:r>
    </w:p>
    <w:p w14:paraId="60AA9390" w14:textId="77777777" w:rsidR="003269EB" w:rsidRPr="003269EB" w:rsidRDefault="003269EB" w:rsidP="003269EB">
      <w:pPr>
        <w:numPr>
          <w:ilvl w:val="0"/>
          <w:numId w:val="2"/>
        </w:numPr>
      </w:pPr>
      <w:r w:rsidRPr="003269EB">
        <w:rPr>
          <w:b/>
          <w:bCs/>
        </w:rPr>
        <w:t>Relation (Table) :</w:t>
      </w:r>
      <w:r w:rsidRPr="003269EB">
        <w:t xml:space="preserve"> Ensemble d'attributs caractérisant un objet. Elle est représentée sous forme de table</w:t>
      </w:r>
      <w:r w:rsidRPr="003269EB">
        <w:rPr>
          <w:vertAlign w:val="superscript"/>
        </w:rPr>
        <w:t>6666</w:t>
      </w:r>
      <w:r w:rsidRPr="003269EB">
        <w:t>. Formellement, c'est un sous-ensemble nommé du produit cartésien de domaines</w:t>
      </w:r>
      <w:r w:rsidRPr="003269EB">
        <w:rPr>
          <w:vertAlign w:val="superscript"/>
        </w:rPr>
        <w:t>7</w:t>
      </w:r>
      <w:r w:rsidRPr="003269EB">
        <w:t>.</w:t>
      </w:r>
    </w:p>
    <w:p w14:paraId="0AEBDCA6" w14:textId="77777777" w:rsidR="003269EB" w:rsidRPr="003269EB" w:rsidRDefault="003269EB" w:rsidP="003269EB">
      <w:pPr>
        <w:numPr>
          <w:ilvl w:val="0"/>
          <w:numId w:val="2"/>
        </w:numPr>
      </w:pPr>
      <w:r w:rsidRPr="003269EB">
        <w:rPr>
          <w:b/>
          <w:bCs/>
        </w:rPr>
        <w:t>Attribut (Colonne) :</w:t>
      </w:r>
      <w:r w:rsidRPr="003269EB">
        <w:t xml:space="preserve"> Propriété d'une entité (</w:t>
      </w:r>
      <w:proofErr w:type="gramStart"/>
      <w:r w:rsidRPr="003269EB">
        <w:t>ex:</w:t>
      </w:r>
      <w:proofErr w:type="gramEnd"/>
      <w:r w:rsidRPr="003269EB">
        <w:t xml:space="preserve"> Nom, Prénom)</w:t>
      </w:r>
      <w:r w:rsidRPr="003269EB">
        <w:rPr>
          <w:vertAlign w:val="superscript"/>
        </w:rPr>
        <w:t>8888</w:t>
      </w:r>
      <w:r w:rsidRPr="003269EB">
        <w:t xml:space="preserve">. Chaque attribut est lié à un </w:t>
      </w:r>
      <w:r w:rsidRPr="003269EB">
        <w:rPr>
          <w:b/>
          <w:bCs/>
        </w:rPr>
        <w:t>Domaine</w:t>
      </w:r>
      <w:r w:rsidRPr="003269EB">
        <w:t xml:space="preserve"> (ensemble de valeurs possibles comme les entiers, dates, chaînes de caractères)</w:t>
      </w:r>
      <w:r w:rsidRPr="003269EB">
        <w:rPr>
          <w:vertAlign w:val="superscript"/>
        </w:rPr>
        <w:t>9</w:t>
      </w:r>
      <w:r w:rsidRPr="003269EB">
        <w:t>.</w:t>
      </w:r>
    </w:p>
    <w:p w14:paraId="157C7DE9" w14:textId="77777777" w:rsidR="003269EB" w:rsidRPr="003269EB" w:rsidRDefault="003269EB" w:rsidP="003269EB">
      <w:pPr>
        <w:numPr>
          <w:ilvl w:val="0"/>
          <w:numId w:val="2"/>
        </w:numPr>
      </w:pPr>
      <w:r w:rsidRPr="003269EB">
        <w:rPr>
          <w:b/>
          <w:bCs/>
        </w:rPr>
        <w:t>Tuple (Ligne) :</w:t>
      </w:r>
      <w:r w:rsidRPr="003269EB">
        <w:t xml:space="preserve"> Une occurrence unique de l'entité (une ligne dans la table)</w:t>
      </w:r>
      <w:r w:rsidRPr="003269EB">
        <w:rPr>
          <w:vertAlign w:val="superscript"/>
        </w:rPr>
        <w:t>10101010</w:t>
      </w:r>
      <w:r w:rsidRPr="003269EB">
        <w:t>.</w:t>
      </w:r>
    </w:p>
    <w:p w14:paraId="63F7108F" w14:textId="77777777" w:rsidR="003269EB" w:rsidRPr="003269EB" w:rsidRDefault="003269EB" w:rsidP="003269EB">
      <w:pPr>
        <w:numPr>
          <w:ilvl w:val="0"/>
          <w:numId w:val="2"/>
        </w:numPr>
      </w:pPr>
      <w:r w:rsidRPr="003269EB">
        <w:rPr>
          <w:b/>
          <w:bCs/>
        </w:rPr>
        <w:t>Schéma de relation :</w:t>
      </w:r>
      <w:r w:rsidRPr="003269EB">
        <w:t xml:space="preserve"> La définition de la table. Il comprend le nom de la relation, la liste des attributs, leurs types et les contraintes </w:t>
      </w:r>
      <w:r w:rsidRPr="003269EB">
        <w:rPr>
          <w:vertAlign w:val="superscript"/>
        </w:rPr>
        <w:t>11</w:t>
      </w:r>
      <w:r w:rsidRPr="003269EB">
        <w:t>.</w:t>
      </w:r>
    </w:p>
    <w:p w14:paraId="184331A4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B. Les Dimensions</w:t>
      </w:r>
    </w:p>
    <w:p w14:paraId="64D4256F" w14:textId="77777777" w:rsidR="003269EB" w:rsidRPr="003269EB" w:rsidRDefault="003269EB" w:rsidP="003269EB">
      <w:pPr>
        <w:numPr>
          <w:ilvl w:val="0"/>
          <w:numId w:val="3"/>
        </w:numPr>
      </w:pPr>
      <w:r w:rsidRPr="003269EB">
        <w:rPr>
          <w:b/>
          <w:bCs/>
        </w:rPr>
        <w:t xml:space="preserve">Degré (ou </w:t>
      </w:r>
      <w:proofErr w:type="spellStart"/>
      <w:r w:rsidRPr="003269EB">
        <w:rPr>
          <w:b/>
          <w:bCs/>
        </w:rPr>
        <w:t>Arité</w:t>
      </w:r>
      <w:proofErr w:type="spellEnd"/>
      <w:r w:rsidRPr="003269EB">
        <w:rPr>
          <w:b/>
          <w:bCs/>
        </w:rPr>
        <w:t>) :</w:t>
      </w:r>
      <w:r w:rsidRPr="003269EB">
        <w:t xml:space="preserve"> Le nombre d'attributs (colonnes)</w:t>
      </w:r>
      <w:r w:rsidRPr="003269EB">
        <w:rPr>
          <w:vertAlign w:val="superscript"/>
        </w:rPr>
        <w:t>12</w:t>
      </w:r>
      <w:r w:rsidRPr="003269EB">
        <w:t>.</w:t>
      </w:r>
    </w:p>
    <w:p w14:paraId="39AD10C1" w14:textId="77777777" w:rsidR="003269EB" w:rsidRPr="003269EB" w:rsidRDefault="003269EB" w:rsidP="003269EB">
      <w:pPr>
        <w:numPr>
          <w:ilvl w:val="0"/>
          <w:numId w:val="3"/>
        </w:numPr>
      </w:pPr>
      <w:r w:rsidRPr="003269EB">
        <w:rPr>
          <w:b/>
          <w:bCs/>
        </w:rPr>
        <w:t>Cardinalité :</w:t>
      </w:r>
      <w:r w:rsidRPr="003269EB">
        <w:t xml:space="preserve"> Le nombre de tuples (lignes)</w:t>
      </w:r>
      <w:r w:rsidRPr="003269EB">
        <w:rPr>
          <w:vertAlign w:val="superscript"/>
        </w:rPr>
        <w:t>13</w:t>
      </w:r>
      <w:r w:rsidRPr="003269EB">
        <w:t>.</w:t>
      </w:r>
    </w:p>
    <w:p w14:paraId="3F689880" w14:textId="77777777" w:rsidR="003269EB" w:rsidRPr="003269EB" w:rsidRDefault="003269EB" w:rsidP="003269EB">
      <w:r w:rsidRPr="003269EB">
        <w:pict w14:anchorId="1B9B8E0A">
          <v:rect id="_x0000_i1056" style="width:0;height:1.5pt" o:hralign="center" o:hrstd="t" o:hr="t" fillcolor="#a0a0a0" stroked="f"/>
        </w:pict>
      </w:r>
    </w:p>
    <w:p w14:paraId="2AAF3EEB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3. Le Système de Clés</w:t>
      </w:r>
    </w:p>
    <w:p w14:paraId="200D7DBD" w14:textId="77777777" w:rsidR="003269EB" w:rsidRPr="003269EB" w:rsidRDefault="003269EB" w:rsidP="003269EB">
      <w:r w:rsidRPr="003269EB">
        <w:t>Les clés permettent d'identifier les tuples et de lier les relations entre elles.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7539"/>
      </w:tblGrid>
      <w:tr w:rsidR="003269EB" w:rsidRPr="003269EB" w14:paraId="5CBADA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D7043" w14:textId="77777777" w:rsidR="003269EB" w:rsidRPr="003269EB" w:rsidRDefault="003269EB" w:rsidP="003269EB">
            <w:r w:rsidRPr="003269EB">
              <w:rPr>
                <w:b/>
                <w:bCs/>
              </w:rPr>
              <w:lastRenderedPageBreak/>
              <w:t>Type de Clé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88172" w14:textId="77777777" w:rsidR="003269EB" w:rsidRPr="003269EB" w:rsidRDefault="003269EB" w:rsidP="003269EB">
            <w:r w:rsidRPr="003269EB">
              <w:rPr>
                <w:b/>
                <w:bCs/>
              </w:rPr>
              <w:t>Définition &amp; Propriétés</w:t>
            </w:r>
          </w:p>
        </w:tc>
      </w:tr>
      <w:tr w:rsidR="003269EB" w:rsidRPr="003269EB" w14:paraId="77817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57254" w14:textId="77777777" w:rsidR="003269EB" w:rsidRPr="003269EB" w:rsidRDefault="003269EB" w:rsidP="003269EB">
            <w:r w:rsidRPr="003269EB">
              <w:rPr>
                <w:b/>
                <w:bCs/>
              </w:rPr>
              <w:t>Clé Candidate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FBDCE" w14:textId="77777777" w:rsidR="003269EB" w:rsidRPr="003269EB" w:rsidRDefault="003269EB" w:rsidP="003269EB">
            <w:r w:rsidRPr="003269EB">
              <w:t>Sous-ensemble d'attributs identifiant un tuple de manière unique. Elle doit respecter l'</w:t>
            </w:r>
            <w:r w:rsidRPr="003269EB">
              <w:rPr>
                <w:b/>
                <w:bCs/>
              </w:rPr>
              <w:t>unicité</w:t>
            </w:r>
            <w:r w:rsidRPr="003269EB">
              <w:t xml:space="preserve"> (pas de doublons) et l'</w:t>
            </w:r>
            <w:r w:rsidRPr="003269EB">
              <w:rPr>
                <w:b/>
                <w:bCs/>
              </w:rPr>
              <w:t>irréductibilité</w:t>
            </w:r>
            <w:r w:rsidRPr="003269EB">
              <w:t xml:space="preserve"> (c'est la combinaison la plus petite possible) </w:t>
            </w:r>
            <w:r w:rsidRPr="003269EB">
              <w:rPr>
                <w:vertAlign w:val="superscript"/>
              </w:rPr>
              <w:t>14</w:t>
            </w:r>
            <w:r w:rsidRPr="003269EB">
              <w:t>.</w:t>
            </w:r>
          </w:p>
        </w:tc>
      </w:tr>
      <w:tr w:rsidR="003269EB" w:rsidRPr="003269EB" w14:paraId="346FA8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594FB" w14:textId="77777777" w:rsidR="003269EB" w:rsidRPr="003269EB" w:rsidRDefault="003269EB" w:rsidP="003269EB">
            <w:r w:rsidRPr="003269EB">
              <w:rPr>
                <w:b/>
                <w:bCs/>
              </w:rPr>
              <w:t>Clé Primaire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13A1F" w14:textId="77777777" w:rsidR="003269EB" w:rsidRPr="003269EB" w:rsidRDefault="003269EB" w:rsidP="003269EB">
            <w:r w:rsidRPr="003269EB">
              <w:t xml:space="preserve">Clé choisie parmi les clés candidates pour être l'identifiant principal. Ses attributs sont </w:t>
            </w:r>
            <w:r w:rsidRPr="003269EB">
              <w:rPr>
                <w:b/>
                <w:bCs/>
              </w:rPr>
              <w:t>obligatoires</w:t>
            </w:r>
            <w:r w:rsidRPr="003269EB">
              <w:t xml:space="preserve"> (pas de NULL) et soulignés </w:t>
            </w:r>
            <w:r w:rsidRPr="003269EB">
              <w:rPr>
                <w:vertAlign w:val="superscript"/>
              </w:rPr>
              <w:t>15</w:t>
            </w:r>
            <w:r w:rsidRPr="003269EB">
              <w:t>.</w:t>
            </w:r>
          </w:p>
        </w:tc>
      </w:tr>
      <w:tr w:rsidR="003269EB" w:rsidRPr="003269EB" w14:paraId="57DAD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5BE6" w14:textId="77777777" w:rsidR="003269EB" w:rsidRPr="003269EB" w:rsidRDefault="003269EB" w:rsidP="003269EB">
            <w:r w:rsidRPr="003269EB">
              <w:rPr>
                <w:b/>
                <w:bCs/>
              </w:rPr>
              <w:t>Surclé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E5049" w14:textId="77777777" w:rsidR="003269EB" w:rsidRPr="003269EB" w:rsidRDefault="003269EB" w:rsidP="003269EB">
            <w:r w:rsidRPr="003269EB">
              <w:t>Ensemble d'attributs respectant l'unicité, mais pas forcément l'irréductibilité</w:t>
            </w:r>
            <w:r w:rsidRPr="003269EB">
              <w:rPr>
                <w:vertAlign w:val="superscript"/>
              </w:rPr>
              <w:t>16</w:t>
            </w:r>
            <w:r w:rsidRPr="003269EB">
              <w:t>.</w:t>
            </w:r>
          </w:p>
        </w:tc>
      </w:tr>
      <w:tr w:rsidR="003269EB" w:rsidRPr="003269EB" w14:paraId="1154C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0DEB0" w14:textId="77777777" w:rsidR="003269EB" w:rsidRPr="003269EB" w:rsidRDefault="003269EB" w:rsidP="003269EB">
            <w:r w:rsidRPr="003269EB">
              <w:rPr>
                <w:b/>
                <w:bCs/>
              </w:rPr>
              <w:t>Clé Étrangère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BA9FB" w14:textId="77777777" w:rsidR="003269EB" w:rsidRPr="003269EB" w:rsidRDefault="003269EB" w:rsidP="003269EB">
            <w:r w:rsidRPr="003269EB">
              <w:t xml:space="preserve">Attribut (ou groupe d'attributs) dans une table qui fait référence à la clé (généralement primaire) d'une autre table. Elle permet de créer les liens entre les données </w:t>
            </w:r>
            <w:r w:rsidRPr="003269EB">
              <w:rPr>
                <w:vertAlign w:val="superscript"/>
              </w:rPr>
              <w:t>17</w:t>
            </w:r>
            <w:r w:rsidRPr="003269EB">
              <w:t>.</w:t>
            </w:r>
          </w:p>
        </w:tc>
      </w:tr>
    </w:tbl>
    <w:p w14:paraId="7BE9391E" w14:textId="77777777" w:rsidR="003269EB" w:rsidRPr="003269EB" w:rsidRDefault="003269EB" w:rsidP="003269EB">
      <w:r w:rsidRPr="003269EB">
        <w:pict w14:anchorId="39A4C6DD">
          <v:rect id="_x0000_i1057" style="width:0;height:1.5pt" o:hralign="center" o:hrstd="t" o:hr="t" fillcolor="#a0a0a0" stroked="f"/>
        </w:pict>
      </w:r>
    </w:p>
    <w:p w14:paraId="3D412F10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4. Les Contraintes d'Intégrité</w:t>
      </w:r>
    </w:p>
    <w:p w14:paraId="08B74BE9" w14:textId="77777777" w:rsidR="003269EB" w:rsidRPr="003269EB" w:rsidRDefault="003269EB" w:rsidP="003269EB">
      <w:r w:rsidRPr="003269EB">
        <w:t>Règles gérées par le SGBD pour assurer la qualité des données.</w:t>
      </w:r>
    </w:p>
    <w:p w14:paraId="7AE7EDFA" w14:textId="77777777" w:rsidR="003269EB" w:rsidRPr="003269EB" w:rsidRDefault="003269EB" w:rsidP="003269EB">
      <w:pPr>
        <w:numPr>
          <w:ilvl w:val="0"/>
          <w:numId w:val="4"/>
        </w:numPr>
      </w:pPr>
      <w:r w:rsidRPr="003269EB">
        <w:rPr>
          <w:b/>
          <w:bCs/>
        </w:rPr>
        <w:t>Intégrité Référentielle :</w:t>
      </w:r>
      <w:r w:rsidRPr="003269EB">
        <w:t xml:space="preserve"> Si une table contient une clé étrangère, la valeur de celle-ci doit obligatoirement exister dans la table cible référencée (ou être NULL). On ne peut pas référencer un département qui n'existe pas</w:t>
      </w:r>
      <w:r w:rsidRPr="003269EB">
        <w:rPr>
          <w:vertAlign w:val="superscript"/>
        </w:rPr>
        <w:t>18181818</w:t>
      </w:r>
      <w:r w:rsidRPr="003269EB">
        <w:t>.</w:t>
      </w:r>
    </w:p>
    <w:p w14:paraId="2EA182D6" w14:textId="77777777" w:rsidR="003269EB" w:rsidRPr="003269EB" w:rsidRDefault="003269EB" w:rsidP="003269EB">
      <w:pPr>
        <w:numPr>
          <w:ilvl w:val="0"/>
          <w:numId w:val="4"/>
        </w:numPr>
      </w:pPr>
      <w:r w:rsidRPr="003269EB">
        <w:rPr>
          <w:b/>
          <w:bCs/>
        </w:rPr>
        <w:t>Contrainte d'Unicité :</w:t>
      </w:r>
      <w:r w:rsidRPr="003269EB">
        <w:t xml:space="preserve"> Assure que deux tuples ne peuvent pas avoir la même valeur pour un attribut donné (</w:t>
      </w:r>
      <w:proofErr w:type="gramStart"/>
      <w:r w:rsidRPr="003269EB">
        <w:t>ex:</w:t>
      </w:r>
      <w:proofErr w:type="gramEnd"/>
      <w:r w:rsidRPr="003269EB">
        <w:t xml:space="preserve"> </w:t>
      </w:r>
      <w:proofErr w:type="gramStart"/>
      <w:r w:rsidRPr="003269EB">
        <w:t>Email</w:t>
      </w:r>
      <w:proofErr w:type="gramEnd"/>
      <w:r w:rsidRPr="003269EB">
        <w:t>)</w:t>
      </w:r>
      <w:r w:rsidRPr="003269EB">
        <w:rPr>
          <w:vertAlign w:val="superscript"/>
        </w:rPr>
        <w:t>19</w:t>
      </w:r>
      <w:r w:rsidRPr="003269EB">
        <w:t>.</w:t>
      </w:r>
    </w:p>
    <w:p w14:paraId="05251EB1" w14:textId="77777777" w:rsidR="003269EB" w:rsidRPr="003269EB" w:rsidRDefault="003269EB" w:rsidP="003269EB">
      <w:pPr>
        <w:numPr>
          <w:ilvl w:val="0"/>
          <w:numId w:val="4"/>
        </w:numPr>
      </w:pPr>
      <w:r w:rsidRPr="003269EB">
        <w:rPr>
          <w:b/>
          <w:bCs/>
        </w:rPr>
        <w:t>Contrainte NOT NULL :</w:t>
      </w:r>
      <w:r w:rsidRPr="003269EB">
        <w:t xml:space="preserve"> Rend un attribut obligatoire (interdit l'absence de valeur)</w:t>
      </w:r>
      <w:r w:rsidRPr="003269EB">
        <w:rPr>
          <w:vertAlign w:val="superscript"/>
        </w:rPr>
        <w:t>20</w:t>
      </w:r>
      <w:r w:rsidRPr="003269EB">
        <w:t>.</w:t>
      </w:r>
    </w:p>
    <w:p w14:paraId="7C1722B2" w14:textId="77777777" w:rsidR="003269EB" w:rsidRPr="003269EB" w:rsidRDefault="003269EB" w:rsidP="003269EB">
      <w:r w:rsidRPr="003269EB">
        <w:pict w14:anchorId="016DCCBA">
          <v:rect id="_x0000_i1058" style="width:0;height:1.5pt" o:hralign="center" o:hrstd="t" o:hr="t" fillcolor="#a0a0a0" stroked="f"/>
        </w:pict>
      </w:r>
    </w:p>
    <w:p w14:paraId="1E9B01EC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5. La Normalisation</w:t>
      </w:r>
    </w:p>
    <w:p w14:paraId="3BA58CEE" w14:textId="77777777" w:rsidR="003269EB" w:rsidRPr="003269EB" w:rsidRDefault="003269EB" w:rsidP="003269EB">
      <w:r w:rsidRPr="003269EB">
        <w:t xml:space="preserve">Processus visant à vérifier la qualité d'un schéma pour éviter la </w:t>
      </w:r>
      <w:r w:rsidRPr="003269EB">
        <w:rPr>
          <w:b/>
          <w:bCs/>
        </w:rPr>
        <w:t>redondance</w:t>
      </w:r>
      <w:r w:rsidRPr="003269EB">
        <w:t xml:space="preserve"> et les </w:t>
      </w:r>
      <w:r w:rsidRPr="003269EB">
        <w:rPr>
          <w:b/>
          <w:bCs/>
        </w:rPr>
        <w:t>anomalies</w:t>
      </w:r>
      <w:r w:rsidRPr="003269EB">
        <w:t xml:space="preserve"> de mise à jour ou de suppression </w:t>
      </w:r>
      <w:r w:rsidRPr="003269EB">
        <w:rPr>
          <w:vertAlign w:val="superscript"/>
        </w:rPr>
        <w:t>21</w:t>
      </w:r>
      <w:r w:rsidRPr="003269EB">
        <w:t>.</w:t>
      </w:r>
    </w:p>
    <w:p w14:paraId="591C6A44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Les 3 Formes Normales principales</w:t>
      </w:r>
    </w:p>
    <w:p w14:paraId="32258A72" w14:textId="77777777" w:rsidR="003269EB" w:rsidRPr="003269EB" w:rsidRDefault="003269EB" w:rsidP="003269EB">
      <w:r w:rsidRPr="003269EB">
        <w:rPr>
          <w:b/>
          <w:bCs/>
        </w:rPr>
        <w:t>1ère Forme Normale (1FN)</w:t>
      </w:r>
    </w:p>
    <w:p w14:paraId="653D05CA" w14:textId="77777777" w:rsidR="003269EB" w:rsidRPr="003269EB" w:rsidRDefault="003269EB" w:rsidP="003269EB">
      <w:pPr>
        <w:numPr>
          <w:ilvl w:val="0"/>
          <w:numId w:val="5"/>
        </w:numPr>
      </w:pPr>
      <w:r w:rsidRPr="003269EB">
        <w:rPr>
          <w:b/>
          <w:bCs/>
        </w:rPr>
        <w:t>Règle :</w:t>
      </w:r>
      <w:r w:rsidRPr="003269EB">
        <w:t xml:space="preserve"> Tous les attributs doivent être </w:t>
      </w:r>
      <w:r w:rsidRPr="003269EB">
        <w:rPr>
          <w:b/>
          <w:bCs/>
        </w:rPr>
        <w:t>atomiques</w:t>
      </w:r>
      <w:r w:rsidRPr="003269EB">
        <w:t xml:space="preserve"> (non décomposables) et </w:t>
      </w:r>
      <w:proofErr w:type="spellStart"/>
      <w:r w:rsidRPr="003269EB">
        <w:rPr>
          <w:b/>
          <w:bCs/>
        </w:rPr>
        <w:t>mono-valués</w:t>
      </w:r>
      <w:proofErr w:type="spellEnd"/>
      <w:r w:rsidRPr="003269EB">
        <w:t xml:space="preserve"> (une seule valeur par cellule). La table doit avoir une clé</w:t>
      </w:r>
      <w:r w:rsidRPr="003269EB">
        <w:rPr>
          <w:vertAlign w:val="superscript"/>
        </w:rPr>
        <w:t>22</w:t>
      </w:r>
      <w:r w:rsidRPr="003269EB">
        <w:t>.</w:t>
      </w:r>
    </w:p>
    <w:p w14:paraId="7113F012" w14:textId="77777777" w:rsidR="003269EB" w:rsidRPr="003269EB" w:rsidRDefault="003269EB" w:rsidP="003269EB">
      <w:pPr>
        <w:numPr>
          <w:ilvl w:val="0"/>
          <w:numId w:val="5"/>
        </w:numPr>
      </w:pPr>
      <w:r w:rsidRPr="003269EB">
        <w:rPr>
          <w:i/>
          <w:iCs/>
        </w:rPr>
        <w:t>Exemple :</w:t>
      </w:r>
      <w:r w:rsidRPr="003269EB">
        <w:t xml:space="preserve"> Pas de liste de téléphones dans une seule case.</w:t>
      </w:r>
    </w:p>
    <w:p w14:paraId="24EDCCA4" w14:textId="77777777" w:rsidR="003269EB" w:rsidRPr="003269EB" w:rsidRDefault="003269EB" w:rsidP="003269EB">
      <w:r w:rsidRPr="003269EB">
        <w:rPr>
          <w:b/>
          <w:bCs/>
        </w:rPr>
        <w:t>2ème Forme Normale (2FN)</w:t>
      </w:r>
    </w:p>
    <w:p w14:paraId="51D06AD8" w14:textId="77777777" w:rsidR="003269EB" w:rsidRPr="003269EB" w:rsidRDefault="003269EB" w:rsidP="003269EB">
      <w:pPr>
        <w:numPr>
          <w:ilvl w:val="0"/>
          <w:numId w:val="6"/>
        </w:numPr>
      </w:pPr>
      <w:r w:rsidRPr="003269EB">
        <w:rPr>
          <w:b/>
          <w:bCs/>
        </w:rPr>
        <w:lastRenderedPageBreak/>
        <w:t>Prérequis :</w:t>
      </w:r>
      <w:r w:rsidRPr="003269EB">
        <w:t xml:space="preserve"> Être en 1FN.</w:t>
      </w:r>
    </w:p>
    <w:p w14:paraId="439FD44F" w14:textId="77777777" w:rsidR="003269EB" w:rsidRPr="003269EB" w:rsidRDefault="003269EB" w:rsidP="003269EB">
      <w:pPr>
        <w:numPr>
          <w:ilvl w:val="0"/>
          <w:numId w:val="6"/>
        </w:numPr>
      </w:pPr>
      <w:r w:rsidRPr="003269EB">
        <w:rPr>
          <w:b/>
          <w:bCs/>
        </w:rPr>
        <w:t>Règle :</w:t>
      </w:r>
      <w:r w:rsidRPr="003269EB">
        <w:t xml:space="preserve"> Aucun attribut non-clé ne doit dépendre d'une </w:t>
      </w:r>
      <w:r w:rsidRPr="003269EB">
        <w:rPr>
          <w:b/>
          <w:bCs/>
        </w:rPr>
        <w:t>partie</w:t>
      </w:r>
      <w:r w:rsidRPr="003269EB">
        <w:t xml:space="preserve"> de la clé primaire</w:t>
      </w:r>
      <w:r w:rsidRPr="003269EB">
        <w:rPr>
          <w:vertAlign w:val="superscript"/>
        </w:rPr>
        <w:t>23</w:t>
      </w:r>
      <w:r w:rsidRPr="003269EB">
        <w:t>.</w:t>
      </w:r>
    </w:p>
    <w:p w14:paraId="65A0AD7E" w14:textId="77777777" w:rsidR="003269EB" w:rsidRPr="003269EB" w:rsidRDefault="003269EB" w:rsidP="003269EB">
      <w:pPr>
        <w:numPr>
          <w:ilvl w:val="0"/>
          <w:numId w:val="6"/>
        </w:numPr>
      </w:pPr>
      <w:r w:rsidRPr="003269EB">
        <w:rPr>
          <w:i/>
          <w:iCs/>
        </w:rPr>
        <w:t>Contexte :</w:t>
      </w:r>
      <w:r w:rsidRPr="003269EB">
        <w:t xml:space="preserve"> Concerne principalement les tables ayant une clé composée.</w:t>
      </w:r>
    </w:p>
    <w:p w14:paraId="602CAFF6" w14:textId="77777777" w:rsidR="003269EB" w:rsidRPr="003269EB" w:rsidRDefault="003269EB" w:rsidP="003269EB">
      <w:r w:rsidRPr="003269EB">
        <w:rPr>
          <w:b/>
          <w:bCs/>
        </w:rPr>
        <w:t>3ème Forme Normale (3FN)</w:t>
      </w:r>
    </w:p>
    <w:p w14:paraId="2D674D81" w14:textId="77777777" w:rsidR="003269EB" w:rsidRPr="003269EB" w:rsidRDefault="003269EB" w:rsidP="003269EB">
      <w:pPr>
        <w:numPr>
          <w:ilvl w:val="0"/>
          <w:numId w:val="7"/>
        </w:numPr>
      </w:pPr>
      <w:r w:rsidRPr="003269EB">
        <w:rPr>
          <w:b/>
          <w:bCs/>
        </w:rPr>
        <w:t>Prérequis :</w:t>
      </w:r>
      <w:r w:rsidRPr="003269EB">
        <w:t xml:space="preserve"> Être en 2FN.</w:t>
      </w:r>
    </w:p>
    <w:p w14:paraId="6F151F3C" w14:textId="77777777" w:rsidR="003269EB" w:rsidRPr="003269EB" w:rsidRDefault="003269EB" w:rsidP="003269EB">
      <w:pPr>
        <w:numPr>
          <w:ilvl w:val="0"/>
          <w:numId w:val="7"/>
        </w:numPr>
      </w:pPr>
      <w:r w:rsidRPr="003269EB">
        <w:rPr>
          <w:b/>
          <w:bCs/>
        </w:rPr>
        <w:t>Règle :</w:t>
      </w:r>
      <w:r w:rsidRPr="003269EB">
        <w:t xml:space="preserve"> Aucun attribut non-clé ne doit dépendre d'un autre attribut non-clé (pas de dépendance transitive)</w:t>
      </w:r>
      <w:r w:rsidRPr="003269EB">
        <w:rPr>
          <w:vertAlign w:val="superscript"/>
        </w:rPr>
        <w:t>24</w:t>
      </w:r>
      <w:r w:rsidRPr="003269EB">
        <w:t>.</w:t>
      </w:r>
    </w:p>
    <w:p w14:paraId="185C24AE" w14:textId="77777777" w:rsidR="003269EB" w:rsidRPr="003269EB" w:rsidRDefault="003269EB" w:rsidP="003269EB">
      <w:pPr>
        <w:numPr>
          <w:ilvl w:val="0"/>
          <w:numId w:val="7"/>
        </w:numPr>
      </w:pPr>
      <w:r w:rsidRPr="003269EB">
        <w:rPr>
          <w:i/>
          <w:iCs/>
        </w:rPr>
        <w:t>Exemple :</w:t>
      </w:r>
      <w:r w:rsidRPr="003269EB">
        <w:t xml:space="preserve"> Dans une table Voiture, la Marque dépend du Modèle. Si Modèle n'est pas la clé, Marque doit être sortie dans une autre table </w:t>
      </w:r>
      <w:r w:rsidRPr="003269EB">
        <w:rPr>
          <w:vertAlign w:val="superscript"/>
        </w:rPr>
        <w:t>25</w:t>
      </w:r>
      <w:r w:rsidRPr="003269EB">
        <w:t>.</w:t>
      </w:r>
    </w:p>
    <w:p w14:paraId="21F7DFA2" w14:textId="77777777" w:rsidR="003269EB" w:rsidRPr="003269EB" w:rsidRDefault="003269EB" w:rsidP="003269EB">
      <w:r w:rsidRPr="003269EB">
        <w:t>Note : Une dépendance fonctionnelle $X \to Y$ signifie que connaître la valeur de X permet de connaître la valeur de Y</w:t>
      </w:r>
      <w:r w:rsidRPr="003269EB">
        <w:rPr>
          <w:vertAlign w:val="superscript"/>
        </w:rPr>
        <w:t>26262626</w:t>
      </w:r>
      <w:r w:rsidRPr="003269EB">
        <w:t>.</w:t>
      </w:r>
    </w:p>
    <w:p w14:paraId="3D4B1B13" w14:textId="77777777" w:rsidR="003269EB" w:rsidRPr="003269EB" w:rsidRDefault="003269EB" w:rsidP="003269EB">
      <w:r w:rsidRPr="003269EB">
        <w:pict w14:anchorId="6C53B723">
          <v:rect id="_x0000_i1059" style="width:0;height:1.5pt" o:hralign="center" o:hrstd="t" o:hr="t" fillcolor="#a0a0a0" stroked="f"/>
        </w:pict>
      </w:r>
    </w:p>
    <w:p w14:paraId="055A7DD9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6. Algèbre Relationnelle</w:t>
      </w:r>
    </w:p>
    <w:p w14:paraId="7B9AAE6B" w14:textId="77777777" w:rsidR="003269EB" w:rsidRPr="003269EB" w:rsidRDefault="003269EB" w:rsidP="003269EB">
      <w:r w:rsidRPr="003269EB">
        <w:t>Ensemble d'opérations mathématiques permettant de manipuler les relations pour en produire de nouvelles. C'est le fondement du SQL</w:t>
      </w:r>
      <w:r w:rsidRPr="003269EB">
        <w:rPr>
          <w:vertAlign w:val="superscript"/>
        </w:rPr>
        <w:t>27</w:t>
      </w:r>
      <w:r w:rsidRPr="003269EB">
        <w:t>.</w:t>
      </w:r>
    </w:p>
    <w:p w14:paraId="78222EBC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A. Opérateurs Unaires</w:t>
      </w:r>
    </w:p>
    <w:p w14:paraId="5267E9D7" w14:textId="77777777" w:rsidR="003269EB" w:rsidRPr="003269EB" w:rsidRDefault="003269EB" w:rsidP="003269EB">
      <w:pPr>
        <w:numPr>
          <w:ilvl w:val="0"/>
          <w:numId w:val="8"/>
        </w:numPr>
      </w:pPr>
      <w:r w:rsidRPr="003269EB">
        <w:rPr>
          <w:b/>
          <w:bCs/>
        </w:rPr>
        <w:t>Sélection ($\sigma$) :</w:t>
      </w:r>
      <w:r w:rsidRPr="003269EB">
        <w:t xml:space="preserve"> Filtre les </w:t>
      </w:r>
      <w:r w:rsidRPr="003269EB">
        <w:rPr>
          <w:b/>
          <w:bCs/>
        </w:rPr>
        <w:t>tuples</w:t>
      </w:r>
      <w:r w:rsidRPr="003269EB">
        <w:t xml:space="preserve"> (lignes) selon une condition logique. (Équivalent SQL : WHERE) </w:t>
      </w:r>
      <w:r w:rsidRPr="003269EB">
        <w:rPr>
          <w:vertAlign w:val="superscript"/>
        </w:rPr>
        <w:t>28</w:t>
      </w:r>
      <w:r w:rsidRPr="003269EB">
        <w:t>.</w:t>
      </w:r>
    </w:p>
    <w:p w14:paraId="7782CD92" w14:textId="77777777" w:rsidR="003269EB" w:rsidRPr="003269EB" w:rsidRDefault="003269EB" w:rsidP="003269EB">
      <w:pPr>
        <w:numPr>
          <w:ilvl w:val="0"/>
          <w:numId w:val="8"/>
        </w:numPr>
      </w:pPr>
      <w:r w:rsidRPr="003269EB">
        <w:rPr>
          <w:b/>
          <w:bCs/>
        </w:rPr>
        <w:t>Projection ($\pi$) :</w:t>
      </w:r>
      <w:r w:rsidRPr="003269EB">
        <w:t xml:space="preserve"> Sélectionne les </w:t>
      </w:r>
      <w:r w:rsidRPr="003269EB">
        <w:rPr>
          <w:b/>
          <w:bCs/>
        </w:rPr>
        <w:t>attributs</w:t>
      </w:r>
      <w:r w:rsidRPr="003269EB">
        <w:t xml:space="preserve"> (colonnes) et élimine les doublons. (Équivalent SQL : SELECT) </w:t>
      </w:r>
      <w:r w:rsidRPr="003269EB">
        <w:rPr>
          <w:vertAlign w:val="superscript"/>
        </w:rPr>
        <w:t>29</w:t>
      </w:r>
      <w:r w:rsidRPr="003269EB">
        <w:t>.</w:t>
      </w:r>
    </w:p>
    <w:p w14:paraId="70154C87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B. Opérateurs Ensemblistes (Relations de même schéma)</w:t>
      </w:r>
    </w:p>
    <w:p w14:paraId="7C25C5DC" w14:textId="77777777" w:rsidR="003269EB" w:rsidRPr="003269EB" w:rsidRDefault="003269EB" w:rsidP="003269EB">
      <w:pPr>
        <w:numPr>
          <w:ilvl w:val="0"/>
          <w:numId w:val="9"/>
        </w:numPr>
      </w:pPr>
      <w:r w:rsidRPr="003269EB">
        <w:rPr>
          <w:b/>
          <w:bCs/>
        </w:rPr>
        <w:t>Union ($\cup$) :</w:t>
      </w:r>
      <w:r w:rsidRPr="003269EB">
        <w:t xml:space="preserve"> Combine les tuples de deux relations. (A ou B) </w:t>
      </w:r>
      <w:r w:rsidRPr="003269EB">
        <w:rPr>
          <w:vertAlign w:val="superscript"/>
        </w:rPr>
        <w:t>30</w:t>
      </w:r>
      <w:r w:rsidRPr="003269EB">
        <w:t>.</w:t>
      </w:r>
    </w:p>
    <w:p w14:paraId="50247BA3" w14:textId="77777777" w:rsidR="003269EB" w:rsidRPr="003269EB" w:rsidRDefault="003269EB" w:rsidP="003269EB">
      <w:pPr>
        <w:numPr>
          <w:ilvl w:val="0"/>
          <w:numId w:val="9"/>
        </w:numPr>
      </w:pPr>
      <w:r w:rsidRPr="003269EB">
        <w:rPr>
          <w:b/>
          <w:bCs/>
        </w:rPr>
        <w:t>Intersection ($\cap$) :</w:t>
      </w:r>
      <w:r w:rsidRPr="003269EB">
        <w:t xml:space="preserve"> Garde les tuples communs aux deux relations. (A et B) </w:t>
      </w:r>
      <w:r w:rsidRPr="003269EB">
        <w:rPr>
          <w:vertAlign w:val="superscript"/>
        </w:rPr>
        <w:t>31</w:t>
      </w:r>
      <w:r w:rsidRPr="003269EB">
        <w:t>.</w:t>
      </w:r>
    </w:p>
    <w:p w14:paraId="22A7F9A7" w14:textId="77777777" w:rsidR="003269EB" w:rsidRPr="003269EB" w:rsidRDefault="003269EB" w:rsidP="003269EB">
      <w:pPr>
        <w:numPr>
          <w:ilvl w:val="0"/>
          <w:numId w:val="9"/>
        </w:numPr>
      </w:pPr>
      <w:r w:rsidRPr="003269EB">
        <w:rPr>
          <w:b/>
          <w:bCs/>
        </w:rPr>
        <w:t>Différence ($-$) :</w:t>
      </w:r>
      <w:r w:rsidRPr="003269EB">
        <w:t xml:space="preserve"> Garde les tuples de la première relation qui ne sont pas dans la seconde. (A sans B) </w:t>
      </w:r>
      <w:r w:rsidRPr="003269EB">
        <w:rPr>
          <w:vertAlign w:val="superscript"/>
        </w:rPr>
        <w:t>32</w:t>
      </w:r>
      <w:r w:rsidRPr="003269EB">
        <w:t>.</w:t>
      </w:r>
    </w:p>
    <w:p w14:paraId="2121428D" w14:textId="77777777" w:rsidR="003269EB" w:rsidRPr="003269EB" w:rsidRDefault="003269EB" w:rsidP="003269EB">
      <w:pPr>
        <w:rPr>
          <w:b/>
          <w:bCs/>
        </w:rPr>
      </w:pPr>
      <w:r w:rsidRPr="003269EB">
        <w:rPr>
          <w:b/>
          <w:bCs/>
        </w:rPr>
        <w:t>C. Jointures (Combinaison de relations)</w:t>
      </w:r>
    </w:p>
    <w:p w14:paraId="1402EE9F" w14:textId="77777777" w:rsidR="003269EB" w:rsidRPr="003269EB" w:rsidRDefault="003269EB" w:rsidP="003269EB">
      <w:pPr>
        <w:numPr>
          <w:ilvl w:val="0"/>
          <w:numId w:val="10"/>
        </w:numPr>
      </w:pPr>
      <w:r w:rsidRPr="003269EB">
        <w:rPr>
          <w:b/>
          <w:bCs/>
        </w:rPr>
        <w:t>Produit Cartésien ($\times$) :</w:t>
      </w:r>
      <w:r w:rsidRPr="003269EB">
        <w:t xml:space="preserve"> Toutes les combinaisons possibles de tuples</w:t>
      </w:r>
      <w:r w:rsidRPr="003269EB">
        <w:rPr>
          <w:vertAlign w:val="superscript"/>
        </w:rPr>
        <w:t>33</w:t>
      </w:r>
      <w:r w:rsidRPr="003269EB">
        <w:t>.</w:t>
      </w:r>
    </w:p>
    <w:p w14:paraId="4F89039B" w14:textId="77777777" w:rsidR="003269EB" w:rsidRPr="003269EB" w:rsidRDefault="003269EB" w:rsidP="003269EB">
      <w:pPr>
        <w:numPr>
          <w:ilvl w:val="0"/>
          <w:numId w:val="10"/>
        </w:numPr>
      </w:pPr>
      <w:proofErr w:type="spellStart"/>
      <w:r w:rsidRPr="003269EB">
        <w:rPr>
          <w:b/>
          <w:bCs/>
        </w:rPr>
        <w:t>Théta</w:t>
      </w:r>
      <w:proofErr w:type="spellEnd"/>
      <w:r w:rsidRPr="003269EB">
        <w:rPr>
          <w:b/>
          <w:bCs/>
        </w:rPr>
        <w:t>-jointure / Équi-jointure :</w:t>
      </w:r>
      <w:r w:rsidRPr="003269EB">
        <w:t xml:space="preserve"> Jointure basée sur une comparaison (souvent égalité =) </w:t>
      </w:r>
      <w:r w:rsidRPr="003269EB">
        <w:rPr>
          <w:vertAlign w:val="superscript"/>
        </w:rPr>
        <w:t>34</w:t>
      </w:r>
      <w:r w:rsidRPr="003269EB">
        <w:t>.</w:t>
      </w:r>
    </w:p>
    <w:p w14:paraId="565C33D7" w14:textId="77777777" w:rsidR="003269EB" w:rsidRPr="003269EB" w:rsidRDefault="003269EB" w:rsidP="003269EB">
      <w:pPr>
        <w:numPr>
          <w:ilvl w:val="0"/>
          <w:numId w:val="10"/>
        </w:numPr>
      </w:pPr>
      <w:r w:rsidRPr="003269EB">
        <w:rPr>
          <w:b/>
          <w:bCs/>
        </w:rPr>
        <w:t>Jointure Naturelle :</w:t>
      </w:r>
      <w:r w:rsidRPr="003269EB">
        <w:t xml:space="preserve"> Fusion automatique sur les attributs portant le même nom</w:t>
      </w:r>
      <w:r w:rsidRPr="003269EB">
        <w:rPr>
          <w:vertAlign w:val="superscript"/>
        </w:rPr>
        <w:t>35</w:t>
      </w:r>
      <w:r w:rsidRPr="003269EB">
        <w:t>.</w:t>
      </w:r>
    </w:p>
    <w:p w14:paraId="2A3D937A" w14:textId="77777777" w:rsidR="003269EB" w:rsidRPr="003269EB" w:rsidRDefault="003269EB" w:rsidP="003269EB">
      <w:pPr>
        <w:numPr>
          <w:ilvl w:val="0"/>
          <w:numId w:val="10"/>
        </w:numPr>
      </w:pPr>
      <w:r w:rsidRPr="003269EB">
        <w:rPr>
          <w:b/>
          <w:bCs/>
        </w:rPr>
        <w:lastRenderedPageBreak/>
        <w:t xml:space="preserve">Jointures Externes (Left/Right/Full Outer </w:t>
      </w:r>
      <w:proofErr w:type="spellStart"/>
      <w:r w:rsidRPr="003269EB">
        <w:rPr>
          <w:b/>
          <w:bCs/>
        </w:rPr>
        <w:t>Join</w:t>
      </w:r>
      <w:proofErr w:type="spellEnd"/>
      <w:r w:rsidRPr="003269EB">
        <w:rPr>
          <w:b/>
          <w:bCs/>
        </w:rPr>
        <w:t>) :</w:t>
      </w:r>
      <w:r w:rsidRPr="003269EB">
        <w:t xml:space="preserve"> Conservent les tuples d'une table même sans correspondance dans l'autre (complété par des NULL) </w:t>
      </w:r>
      <w:r w:rsidRPr="003269EB">
        <w:rPr>
          <w:vertAlign w:val="superscript"/>
        </w:rPr>
        <w:t>36</w:t>
      </w:r>
      <w:r w:rsidRPr="003269EB">
        <w:t>.</w:t>
      </w:r>
    </w:p>
    <w:p w14:paraId="174F7708" w14:textId="77777777" w:rsidR="003269EB" w:rsidRPr="003269EB" w:rsidRDefault="003269EB" w:rsidP="003269EB">
      <w:r w:rsidRPr="003269EB">
        <w:rPr>
          <w:i/>
          <w:iCs/>
        </w:rPr>
        <w:t>(Fin du document)</w:t>
      </w:r>
    </w:p>
    <w:p w14:paraId="3BE778A3" w14:textId="77777777" w:rsidR="001523C5" w:rsidRDefault="001523C5"/>
    <w:sectPr w:rsidR="00152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774"/>
    <w:multiLevelType w:val="multilevel"/>
    <w:tmpl w:val="E8F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4103"/>
    <w:multiLevelType w:val="multilevel"/>
    <w:tmpl w:val="BE18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D6F95"/>
    <w:multiLevelType w:val="multilevel"/>
    <w:tmpl w:val="064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2951"/>
    <w:multiLevelType w:val="multilevel"/>
    <w:tmpl w:val="758E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6CB2"/>
    <w:multiLevelType w:val="multilevel"/>
    <w:tmpl w:val="8F7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65FC7"/>
    <w:multiLevelType w:val="multilevel"/>
    <w:tmpl w:val="602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A73E0"/>
    <w:multiLevelType w:val="multilevel"/>
    <w:tmpl w:val="396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752F1"/>
    <w:multiLevelType w:val="multilevel"/>
    <w:tmpl w:val="55FA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B5260"/>
    <w:multiLevelType w:val="multilevel"/>
    <w:tmpl w:val="D74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43B21"/>
    <w:multiLevelType w:val="multilevel"/>
    <w:tmpl w:val="52EE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397942">
    <w:abstractNumId w:val="7"/>
  </w:num>
  <w:num w:numId="2" w16cid:durableId="1609308620">
    <w:abstractNumId w:val="0"/>
  </w:num>
  <w:num w:numId="3" w16cid:durableId="905065555">
    <w:abstractNumId w:val="6"/>
  </w:num>
  <w:num w:numId="4" w16cid:durableId="303315521">
    <w:abstractNumId w:val="9"/>
  </w:num>
  <w:num w:numId="5" w16cid:durableId="12151662">
    <w:abstractNumId w:val="3"/>
  </w:num>
  <w:num w:numId="6" w16cid:durableId="463622073">
    <w:abstractNumId w:val="1"/>
  </w:num>
  <w:num w:numId="7" w16cid:durableId="1160775617">
    <w:abstractNumId w:val="5"/>
  </w:num>
  <w:num w:numId="8" w16cid:durableId="829249822">
    <w:abstractNumId w:val="2"/>
  </w:num>
  <w:num w:numId="9" w16cid:durableId="1744791848">
    <w:abstractNumId w:val="4"/>
  </w:num>
  <w:num w:numId="10" w16cid:durableId="13907597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EB"/>
    <w:rsid w:val="001523C5"/>
    <w:rsid w:val="003269EB"/>
    <w:rsid w:val="005C35DA"/>
    <w:rsid w:val="00C45C03"/>
    <w:rsid w:val="00CB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AE39EA"/>
  <w15:chartTrackingRefBased/>
  <w15:docId w15:val="{31CDFC51-C755-4B83-900A-1EDCC8C1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69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69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69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69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69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69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69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69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69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69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2026-01-10T17:37:00Z</dcterms:created>
  <dcterms:modified xsi:type="dcterms:W3CDTF">2026-01-10T17:38:00Z</dcterms:modified>
</cp:coreProperties>
</file>