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4F6F52"/>
          <w:spacing w:val="24"/>
          <w:sz w:val="15"/>
        </w:rPr>
        <w:t>GUÍA DE CONSULTA · LENGUAJE SENCILLO</w:t>
      </w:r>
    </w:p>
    <w:p>
      <w:pPr>
        <w:pStyle w:val="Title"/>
        <w:pBdr>
          <w:bottom w:val="single" w:sz="8" w:space="2" w:color="4F6F52"/>
        </w:pBdr>
        <w:spacing w:before="0" w:after="60"/>
      </w:pPr>
      <w:r>
        <w:t>Guía rápida: datos agrícolas para ingenieros agrónomos</w:t>
      </w:r>
    </w:p>
    <w:p>
      <w:pPr>
        <w:spacing w:after="160"/>
      </w:pPr>
      <w:r>
        <w:rPr>
          <w:rFonts w:ascii="Calibri" w:hAnsi="Calibri"/>
          <w:i/>
          <w:color w:val="5F6B60"/>
          <w:sz w:val="18"/>
        </w:rPr>
        <w:t>Qué es un conjunto de datos, una API y un repositorio; cómo elegir un recurso y solicitar acceso sin ser programador.</w:t>
      </w:r>
    </w:p>
    <w:p>
      <w:pPr>
        <w:pStyle w:val="Heading1"/>
        <w:spacing w:before="160"/>
      </w:pPr>
      <w:r>
        <w:t>1. Para qué te sirven los datos abiertos</w:t>
      </w:r>
    </w:p>
    <w:p>
      <w:r>
        <w:rPr>
          <w:sz w:val="18"/>
        </w:rPr>
        <w:t>Los datos públicos de agricultura te permiten comparar tu caso con el contexto del municipio, justificar una recomendación, preparar una clase o una tesis y detectar patrones que no se ven en una sola parcela. No necesitas programar: casi todo se consulta en un sitio web o se descarga en Excel.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Comparar rendimiento (t/ha), superficie sembrada y siniestrada de un cultivo en tu municipio.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Ubicar la normativa aplicable y los requisitos de movilización o sanidad vegetal.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Documentar casos con contexto y citar la fuente de cada dato.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8"/>
        </w:rPr>
        <w:t>Preparar material de docencia o una propuesta de asistencia técnica.</w:t>
      </w:r>
    </w:p>
    <w:p>
      <w:pPr>
        <w:pStyle w:val="Heading1"/>
        <w:spacing w:before="160"/>
      </w:pPr>
      <w:r>
        <w:t>2. Cuatro conceptos básicos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  <w:trHeight w:val="539" w:hRule="atLeast"/>
        </w:trPr>
        <w:tc>
          <w:tcPr>
            <w:tcW w:type="dxa" w:w="226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Conjunto de datos (dataset)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  <w:t>Archivo organizado en filas y columnas, o en varios archivos, que se abre con Excel, Numbers o Google Sheets. Ejemplo: superficie y rendimiento por cultivo y municipio.</w:t>
            </w:r>
          </w:p>
        </w:tc>
      </w:tr>
      <w:tr>
        <w:trPr>
          <w:cantSplit/>
          <w:trHeight w:val="539" w:hRule="atLeast"/>
        </w:trPr>
        <w:tc>
          <w:tcPr>
            <w:tcW w:type="dxa" w:w="226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API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  <w:t>Forma de consultar datos de un sistema desde otro. Tú puedes leer la documentación; para integrarla en un programa necesitas apoyo técnico. Ejemplo: una API que devuelve precios por fecha.</w:t>
            </w:r>
          </w:p>
        </w:tc>
      </w:tr>
      <w:tr>
        <w:trPr>
          <w:cantSplit/>
          <w:trHeight w:val="539" w:hRule="atLeast"/>
        </w:trPr>
        <w:tc>
          <w:tcPr>
            <w:tcW w:type="dxa" w:w="226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Repositorio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  <w:t>Sitio donde se guardan y comparten datos, documentos o código, con versión y licencia. Ejemplo: el repositorio institucional del INIFAP o un archivo de datos de investigación.</w:t>
            </w:r>
          </w:p>
        </w:tc>
      </w:tr>
      <w:tr>
        <w:trPr>
          <w:cantSplit/>
          <w:trHeight w:val="539" w:hRule="atLeast"/>
        </w:trPr>
        <w:tc>
          <w:tcPr>
            <w:tcW w:type="dxa" w:w="2268"/>
            <w:vAlign w:val="center"/>
            <w:shd w:val="clear" w:color="auto" w:fill="E8EDE4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color w:val="1F3D2B"/>
                <w:sz w:val="17"/>
              </w:rPr>
              <w:t>Metadatos</w:t>
            </w:r>
          </w:p>
        </w:tc>
        <w:tc>
          <w:tcPr>
            <w:tcW w:type="dxa" w:w="7143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color w:val="1B241E"/>
                <w:sz w:val="18"/>
              </w:rPr>
              <w:t>Información que describe el dato: quién lo generó, cuándo, dónde, con qué método y en qué unidad (t/ha, hectáreas, pesos por tonelada).</w:t>
            </w:r>
          </w:p>
        </w:tc>
      </w:tr>
    </w:tbl>
    <w:p>
      <w:pPr>
        <w:pStyle w:val="Heading1"/>
        <w:spacing w:before="160"/>
      </w:pPr>
      <w:r>
        <w:t>3. Dónde buscar información agrícola en México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2154"/>
        <w:gridCol w:w="4706"/>
        <w:gridCol w:w="2551"/>
      </w:tblGrid>
      <w:tr>
        <w:trPr>
          <w:cantSplit/>
          <w:tblHeader/>
        </w:trPr>
        <w:tc>
          <w:tcPr>
            <w:tcW w:type="dxa" w:w="2154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Institución</w:t>
            </w:r>
          </w:p>
        </w:tc>
        <w:tc>
          <w:tcPr>
            <w:tcW w:type="dxa" w:w="4706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Qué información publica</w:t>
            </w:r>
          </w:p>
        </w:tc>
        <w:tc>
          <w:tcPr>
            <w:tcW w:type="dxa" w:w="2551"/>
            <w:shd w:val="clear" w:color="auto" w:fill="4F6F5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Cómo acceder</w:t>
            </w:r>
          </w:p>
        </w:tc>
      </w:tr>
      <w:tr>
        <w:trPr>
          <w:cantSplit/>
          <w:trHeight w:val="652" w:hRule="atLeast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SIAP</w:t>
            </w:r>
          </w:p>
        </w:tc>
        <w:tc>
          <w:tcPr>
            <w:tcW w:type="dxa" w:w="4706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Superficie sembrada, cosechada y siniestrada, producción, rendimiento y precios al productor por cultivo, estado y municipio.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Consultas y descargas en siap.gob.mx; microdatos por solicitud.</w:t>
            </w:r>
          </w:p>
        </w:tc>
      </w:tr>
      <w:tr>
        <w:trPr>
          <w:cantSplit/>
          <w:trHeight w:val="652" w:hRule="atLeast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INIFAP</w:t>
            </w:r>
          </w:p>
        </w:tc>
        <w:tc>
          <w:tcPr>
            <w:tcW w:type="dxa" w:w="4706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Guías técnicas, variedades, resultados de ensayos y publicaciones de investigación agrícola y pecuaria.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Publicaciones y repositorio institucional; solicitud de información.</w:t>
            </w:r>
          </w:p>
        </w:tc>
      </w:tr>
      <w:tr>
        <w:trPr>
          <w:cantSplit/>
          <w:trHeight w:val="652" w:hRule="atLeast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SENASICA</w:t>
            </w:r>
          </w:p>
        </w:tc>
        <w:tc>
          <w:tcPr>
            <w:tcW w:type="dxa" w:w="4706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Avisos fitosanitarios, campañas, requisitos de movilización y registros de sanidad vegetal.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Consultas en el portal; solicitud de información pública.</w:t>
            </w:r>
          </w:p>
        </w:tc>
      </w:tr>
      <w:tr>
        <w:trPr>
          <w:cantSplit/>
          <w:trHeight w:val="652" w:hRule="atLeast"/>
        </w:trPr>
        <w:tc>
          <w:tcPr>
            <w:tcW w:type="dxa" w:w="2154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/>
                <w:i w:val="0"/>
                <w:sz w:val="17"/>
              </w:rPr>
              <w:t>INEGI</w:t>
            </w:r>
          </w:p>
        </w:tc>
        <w:tc>
          <w:tcPr>
            <w:tcW w:type="dxa" w:w="4706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Censo Agropecuario, uso de suelo y datos sociodemográficos del medio rural.</w:t>
            </w:r>
          </w:p>
        </w:tc>
        <w:tc>
          <w:tcPr>
            <w:tcW w:type="dxa" w:w="2551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6"/>
              </w:rPr>
              <w:t>Descargas abiertas en inegi.org.mx.</w:t>
            </w:r>
          </w:p>
        </w:tc>
      </w:tr>
    </w:tbl>
    <w:p>
      <w:pPr>
        <w:spacing w:after="60" w:before="0"/>
      </w:pPr>
      <w:r>
        <w:rPr>
          <w:rFonts w:ascii="Calibri" w:hAnsi="Calibri"/>
          <w:i/>
          <w:color w:val="5F6B60"/>
          <w:sz w:val="16"/>
        </w:rPr>
        <w:t>Las cifras pueden cambiar de versión. Anota la fecha de consulta y la versión que usaste.</w:t>
      </w:r>
    </w:p>
    <w:p>
      <w:pPr>
        <w:pStyle w:val="Heading1"/>
        <w:spacing w:before="160"/>
      </w:pPr>
      <w:r>
        <w:t>4. Cómo elegir un recurso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Define la pregunta antes de buscar: cultivo, problema, territorio y periodo.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Revisa la cobertura geográfica y si el dato es municipal, estatal o nacional.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Verifica la unidad: t/ha no es lo mismo que toneladas totales; superficie sembrada no es superficie cosechada.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Lee la licencia y las condiciones de uso antes de descargar.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Identifica quién publica, con qué método y si el recurso tiene revisión o documentación.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Comprueba si hay diccionario de variables; sin él, una columna puede significar varias cosas.</w:t>
      </w:r>
    </w:p>
    <w:p>
      <w:pPr>
        <w:pStyle w:val="Heading1"/>
        <w:spacing w:before="160"/>
      </w:pPr>
      <w:r>
        <w:t>5. Cómo solicitar acceso en cinco pasos</w:t>
      </w:r>
    </w:p>
    <w:p>
      <w:pPr>
        <w:spacing w:after="40" w:line="247" w:lineRule="auto"/>
        <w:ind w:left="283" w:hanging="283"/>
      </w:pPr>
      <w:r>
        <w:rPr>
          <w:rFonts w:ascii="Calibri" w:hAnsi="Calibri"/>
          <w:sz w:val="18"/>
        </w:rPr>
        <w:t>1. Abre la ficha del recurso y lee los requisitos, el formato y la licencia.</w:t>
      </w:r>
    </w:p>
    <w:p>
      <w:pPr>
        <w:spacing w:after="40" w:line="247" w:lineRule="auto"/>
        <w:ind w:left="283" w:hanging="283"/>
      </w:pPr>
      <w:r>
        <w:rPr>
          <w:rFonts w:ascii="Calibri" w:hAnsi="Calibri"/>
          <w:sz w:val="18"/>
        </w:rPr>
        <w:t>2. Copia la carta modelo del kit y completa tus datos profesionales.</w:t>
      </w:r>
    </w:p>
    <w:p>
      <w:pPr>
        <w:spacing w:after="40" w:line="247" w:lineRule="auto"/>
        <w:ind w:left="283" w:hanging="283"/>
      </w:pPr>
      <w:r>
        <w:rPr>
          <w:rFonts w:ascii="Calibri" w:hAnsi="Calibri"/>
          <w:sz w:val="18"/>
        </w:rPr>
        <w:t>3. Explica tu objetivo con una pregunta concreta y un periodo definido.</w:t>
      </w:r>
    </w:p>
    <w:p>
      <w:pPr>
        <w:spacing w:after="40" w:line="247" w:lineRule="auto"/>
        <w:ind w:left="283" w:hanging="283"/>
      </w:pPr>
      <w:r>
        <w:rPr>
          <w:rFonts w:ascii="Calibri" w:hAnsi="Calibri"/>
          <w:sz w:val="18"/>
        </w:rPr>
        <w:t>4. Describe cómo protegerás la confidencialidad y qué harás con los resultados.</w:t>
      </w:r>
    </w:p>
    <w:p>
      <w:pPr>
        <w:spacing w:after="40" w:line="247" w:lineRule="auto"/>
        <w:ind w:left="283" w:hanging="283"/>
      </w:pPr>
      <w:r>
        <w:rPr>
          <w:rFonts w:ascii="Calibri" w:hAnsi="Calibri"/>
          <w:sz w:val="18"/>
        </w:rPr>
        <w:t>5. Guarda la respuesta, las condiciones de uso y la versión descargada en tu expediente.</w:t>
      </w:r>
    </w:p>
    <w:p>
      <w:pPr>
        <w:pStyle w:val="Heading1"/>
        <w:spacing w:before="160"/>
      </w:pPr>
      <w:r>
        <w:t>6. Señales de alerta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El recurso no indica autor, institución, fecha ni licencia.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Piden datos personales de productores sin justificación ni aviso de privacidad.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Ofrecen acceso inmediato a cambio de pagos informales o fuera de los canales institucionales.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No permiten citar la fuente ni explican cómo se generaron o validaron los datos.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Las cifras no coinciden con la fuente oficial y no hay nota metodológica.</w:t>
      </w:r>
    </w:p>
    <w:p>
      <w:pPr>
        <w:pStyle w:val="Heading1"/>
        <w:spacing w:before="160"/>
      </w:pPr>
      <w:r>
        <w:t>7. Buenas prácticas al usar datos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Descarga el diccionario de variables y guárdalo junto con el archivo.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Anota la versión, la fecha de consulta y el enlace exacto.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Conserva una copia sin editar y trabaja sobre una copia nueva.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No reidentifiques productores ni predios; publica datos agregados.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Distingue correlación de causalidad al interpretar rendimiento y clima.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Cita la fuente en el caso, la tesis o la presentación, con DOI o URL.</w:t>
      </w:r>
    </w:p>
    <w:p>
      <w:pPr>
        <w:pStyle w:val="ListBullet"/>
        <w:spacing w:after="40" w:line="247" w:lineRule="auto"/>
      </w:pPr>
      <w:r>
        <w:rPr>
          <w:rFonts w:ascii="Calibri" w:hAnsi="Calibri"/>
          <w:sz w:val="17"/>
        </w:rPr>
        <w:t>Si detectas un error en la fuente, repórtalo a la institución.</w:t>
      </w:r>
    </w:p>
    <w:p>
      <w:pPr>
        <w:pStyle w:val="Heading1"/>
        <w:spacing w:before="160"/>
      </w:pPr>
      <w:r>
        <w:t>8. Antes de usar los datos en un trabajo</w:t>
      </w:r>
    </w:p>
    <w:tbl>
      <w:tblPr>
        <w:tblW w:type="auto" w:w="0"/>
        <w:jc w:val="center"/>
        <w:tblBorders>
          <w:top w:val="single" w:sz="4" w:space="0" w:color="C8D2C0"/>
          <w:left w:val="single" w:sz="4" w:space="0" w:color="C8D2C0"/>
          <w:bottom w:val="single" w:sz="4" w:space="0" w:color="C8D2C0"/>
          <w:right w:val="single" w:sz="4" w:space="0" w:color="C8D2C0"/>
          <w:insideH w:val="single" w:sz="4" w:space="0" w:color="C8D2C0"/>
          <w:insideV w:val="single" w:sz="4" w:space="0" w:color="C8D2C0"/>
        </w:tblBorders>
        <w:tblLayout w:type="fixed"/>
        <w:tblCellMar>
          <w:top w:w="30" w:type="dxa"/>
          <w:bottom w:w="30" w:type="dxa"/>
          <w:left w:w="8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8929"/>
      </w:tblGrid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Tengo una pregunta clara y sé qué decisión técnica va a informar.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Revisé la licencia, la versión y las condiciones de acceso.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Contemplé la aprobación de un comité de ética si trabajo con productores.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Tengo un plan para resguardar los archivos y eliminarlos al terminar.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Sé cómo voy a citar la fuente y cómo presentaré las limitaciones.</w:t>
            </w:r>
          </w:p>
        </w:tc>
      </w:tr>
      <w:tr>
        <w:trPr>
          <w:cantSplit/>
          <w:trHeight w:val="283" w:hRule="atLeast"/>
        </w:trPr>
        <w:tc>
          <w:tcPr>
            <w:tcW w:type="dxa" w:w="482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3D2B"/>
                <w:sz w:val="22"/>
              </w:rPr>
              <w:t>☐</w:t>
            </w:r>
          </w:p>
        </w:tc>
        <w:tc>
          <w:tcPr>
            <w:tcW w:type="dxa" w:w="8929"/>
            <w:vAlign w:val="center"/>
          </w:tcPr>
          <w:p>
            <w:pPr>
              <w:spacing w:before="20" w:after="20" w:line="240" w:lineRule="auto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No voy a reidentificar personas, predios o empresas.</w:t>
            </w:r>
          </w:p>
        </w:tc>
      </w:tr>
    </w:tbl>
    <w:p>
      <w:pPr>
        <w:pStyle w:val="Heading1"/>
        <w:spacing w:before="160"/>
      </w:pPr>
      <w:r>
        <w:t>9. Dónde pedir ayuda</w:t>
      </w:r>
    </w:p>
    <w:p>
      <w:r>
        <w:rPr>
          <w:sz w:val="17"/>
        </w:rPr>
        <w:t>Consulta el directorio de recursos y el glosario del portal. Si trabajas en una institución, acude a la biblioteca o a la oficina de investigación: suelen apoyar con búsqueda de datos, gestión de información y revisión de solicitudes. Para dudas sobre una parcela concreta, la recomendación sigue siendo tu criterio profesional y la visita de campo.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3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F6B60"/>
        <w:sz w:val="14"/>
      </w:rPr>
    </w:r>
    <w:r>
      <w:rPr>
        <w:rFonts w:ascii="Calibri" w:hAnsi="Calibri"/>
        <w:color w:val="5F6B60"/>
        <w:sz w:val="14"/>
      </w:rPr>
      <w:t xml:space="preserve">Documento de apoyo · No sustituye el juicio profesional ni la normativa aplicable · Página </w:t>
    </w:r>
    <w:r>
      <w:rPr>
        <w:rFonts w:ascii="Calibri" w:hAnsi="Calibri"/>
        <w:color w:val="5F6B60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/>
        <w:color w:val="5F6B60"/>
        <w:sz w:val="14"/>
      </w:rPr>
      <w:t xml:space="preserve"> de </w:t>
    </w:r>
    <w:r>
      <w:rPr>
        <w:rFonts w:ascii="Calibri" w:hAnsi="Calibri"/>
        <w:color w:val="5F6B60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4F6F52"/>
      </w:pBdr>
      <w:spacing w:after="0"/>
      <w:jc w:val="right"/>
    </w:pPr>
    <w:r/>
    <w:r>
      <w:rPr>
        <w:rFonts w:ascii="Calibri" w:hAnsi="Calibri"/>
        <w:b/>
        <w:color w:val="1F3D2B"/>
        <w:spacing w:val="20"/>
        <w:sz w:val="15"/>
      </w:rPr>
      <w:t>AGRODIAGNÓSTICO</w:t>
    </w:r>
    <w:r>
      <w:rPr>
        <w:rFonts w:ascii="Calibri" w:hAnsi="Calibri"/>
        <w:b/>
        <w:color w:val="4F6F52"/>
        <w:spacing w:val="20"/>
        <w:sz w:val="15"/>
      </w:rPr>
      <w:t xml:space="preserve"> · KIT PARA INGENIEROS AGRÓNOMOS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4" w:lineRule="auto"/>
    </w:pPr>
    <w:rPr>
      <w:rFonts w:ascii="Calibri" w:hAnsi="Calibri"/>
      <w:color w:val="1B24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40"/>
      <w:outlineLvl w:val="0"/>
    </w:pPr>
    <w:rPr>
      <w:rFonts w:ascii="Calibri" w:hAnsi="Calibri"/>
      <w:b/>
      <w:bCs/>
      <w:color w:val="1F3D2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40"/>
      <w:outlineLvl w:val="1"/>
    </w:pPr>
    <w:rPr>
      <w:rFonts w:ascii="Calibri" w:hAnsi="Calibri"/>
      <w:b/>
      <w:bCs/>
      <w:color w:val="1F3D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6F52"/>
      </w:pBdr>
      <w:spacing w:after="40" w:line="240" w:lineRule="auto" w:before="40"/>
      <w:contextualSpacing/>
    </w:pPr>
    <w:rPr>
      <w:rFonts w:ascii="Calibri" w:hAnsi="Calibri"/>
      <w:b/>
      <w:color w:val="1F3D2B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rápida: datos agrícolas para ingenieros agrónomos</dc:title>
  <dc:subject/>
  <dc:creator>AgroDiagnóstico</dc:creator>
  <cp:keywords>agronomía, casos de campo, datos abiertos, México</cp:keywords>
  <dc:description>Kit para ingenieros agrónomos · Licencia CC BY-NC-SA 4.0</dc:description>
  <cp:lastModifiedBy/>
  <cp:revision>1</cp:revision>
  <dcterms:created xsi:type="dcterms:W3CDTF">2013-12-23T23:15:00Z</dcterms:created>
  <dcterms:modified xsi:type="dcterms:W3CDTF">2013-12-23T23:15:00Z</dcterms:modified>
  <cp:category/>
  <dc:language>es-MX</dc:language>
</cp:coreProperties>
</file>