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4F6F52"/>
          <w:spacing w:val="24"/>
          <w:sz w:val="15"/>
        </w:rPr>
        <w:t>FORMATO IMPRIMIBLE · ENTREGA AL PRODUCTOR</w:t>
      </w:r>
    </w:p>
    <w:p>
      <w:pPr>
        <w:pStyle w:val="Title"/>
        <w:pBdr>
          <w:bottom w:val="single" w:sz="8" w:space="2" w:color="4F6F52"/>
        </w:pBdr>
        <w:spacing w:before="0" w:after="60"/>
      </w:pPr>
      <w:r>
        <w:t>Hoja de recomendación técnica</w:t>
      </w:r>
    </w:p>
    <w:p>
      <w:pPr>
        <w:spacing w:after="160"/>
      </w:pPr>
      <w:r>
        <w:rPr>
          <w:rFonts w:ascii="Calibri" w:hAnsi="Calibri"/>
          <w:i/>
          <w:color w:val="5F6B60"/>
          <w:sz w:val="18"/>
        </w:rPr>
        <w:t>Formato imprimible para entregar al productor al cierre de la visita. Conserva una copia en tu expediente y respeta la normativa aplicable.</w:t>
      </w:r>
    </w:p>
    <w:p>
      <w:pPr>
        <w:pStyle w:val="Heading1"/>
        <w:spacing w:before="160"/>
      </w:pPr>
      <w:r>
        <w:t>1. Datos de la parcela y del productor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098"/>
        <w:gridCol w:w="2608"/>
        <w:gridCol w:w="2154"/>
        <w:gridCol w:w="2551"/>
      </w:tblGrid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Productor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Folio del caso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Predio o lote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Municipio y estado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Cultivo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Variedad o híbrido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Etapa fenológica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Superficie (ha)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Sistema de producción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Fecha de evaluación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rPr>
          <w:cantSplit/>
          <w:trHeight w:val="351" w:hRule="atLeast"/>
        </w:trPr>
        <w:tc>
          <w:tcPr>
            <w:tcW w:type="dxa" w:w="209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Ingeniero agrónomo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2154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Cédula profesional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pPr>
        <w:pStyle w:val="Heading1"/>
        <w:spacing w:before="160"/>
      </w:pPr>
      <w:r>
        <w:t>2. Diagnóstico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cantSplit/>
          <w:trHeight w:val="329" w:hRule="atLeast"/>
        </w:trPr>
        <w:tc>
          <w:tcPr>
            <w:tcW w:type="dxa" w:w="2835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Problema identificado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835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Agente causal o factor limitante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  <w:tr>
        <w:trPr>
          <w:cantSplit/>
          <w:trHeight w:val="329" w:hRule="atLeast"/>
        </w:trPr>
        <w:tc>
          <w:tcPr>
            <w:tcW w:type="dxa" w:w="2835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Nivel de certeza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/>
                <w:color w:val="5F6B60"/>
                <w:sz w:val="17"/>
              </w:rPr>
              <w:t>Confirmado / Probable / Presuntivo</w:t>
            </w:r>
          </w:p>
        </w:tc>
      </w:tr>
      <w:tr>
        <w:trPr>
          <w:cantSplit/>
          <w:trHeight w:val="329" w:hRule="atLeast"/>
        </w:trPr>
        <w:tc>
          <w:tcPr>
            <w:tcW w:type="dxa" w:w="2835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Lotes o parcelas afectadas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</w:r>
          </w:p>
        </w:tc>
      </w:tr>
    </w:tbl>
    <w:p>
      <w:pPr>
        <w:pStyle w:val="Heading1"/>
        <w:spacing w:before="160"/>
      </w:pPr>
      <w:r>
        <w:t>3. Insumos y dosis indicadas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Anota siempre el ingrediente activo y su concentración. Verifica la dosis, el intervalo de seguridad y el registro sanitario vigente antes de recomendar.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381"/>
        <w:gridCol w:w="1701"/>
        <w:gridCol w:w="1247"/>
        <w:gridCol w:w="1247"/>
        <w:gridCol w:w="1020"/>
      </w:tblGrid>
      <w:tr>
        <w:trPr>
          <w:cantSplit/>
          <w:tblHeader/>
        </w:trPr>
        <w:tc>
          <w:tcPr>
            <w:tcW w:type="dxa" w:w="1814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Producto comercial</w:t>
            </w:r>
          </w:p>
        </w:tc>
        <w:tc>
          <w:tcPr>
            <w:tcW w:type="dxa" w:w="2381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Ingrediente activo y concentración</w:t>
            </w:r>
          </w:p>
        </w:tc>
        <w:tc>
          <w:tcPr>
            <w:tcW w:type="dxa" w:w="1701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Dosis (por ha o 100 L)</w:t>
            </w:r>
          </w:p>
        </w:tc>
        <w:tc>
          <w:tcPr>
            <w:tcW w:type="dxa" w:w="1247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Intervalo de seguridad (días)</w:t>
            </w:r>
          </w:p>
        </w:tc>
        <w:tc>
          <w:tcPr>
            <w:tcW w:type="dxa" w:w="1247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Registro sanitario</w:t>
            </w:r>
          </w:p>
        </w:tc>
        <w:tc>
          <w:tcPr>
            <w:tcW w:type="dxa" w:w="1020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Observaciones</w:t>
            </w:r>
          </w:p>
        </w:tc>
      </w:tr>
      <w:tr>
        <w:trPr>
          <w:cantSplit/>
          <w:trHeight w:val="539" w:hRule="atLeast"/>
        </w:trPr>
        <w:tc>
          <w:tcPr>
            <w:tcW w:type="dxa" w:w="1814"/>
            <w:vAlign w:val="center"/>
          </w:tcPr>
          <w:p/>
        </w:tc>
        <w:tc>
          <w:tcPr>
            <w:tcW w:type="dxa" w:w="238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247"/>
            <w:vAlign w:val="center"/>
          </w:tcPr>
          <w:p/>
        </w:tc>
        <w:tc>
          <w:tcPr>
            <w:tcW w:type="dxa" w:w="1247"/>
            <w:vAlign w:val="center"/>
          </w:tcPr>
          <w:p/>
        </w:tc>
        <w:tc>
          <w:tcPr>
            <w:tcW w:type="dxa" w:w="1020"/>
            <w:vAlign w:val="center"/>
          </w:tcPr>
          <w:p/>
        </w:tc>
      </w:tr>
      <w:tr>
        <w:trPr>
          <w:cantSplit/>
          <w:trHeight w:val="539" w:hRule="atLeast"/>
        </w:trPr>
        <w:tc>
          <w:tcPr>
            <w:tcW w:type="dxa" w:w="1814"/>
            <w:vAlign w:val="center"/>
          </w:tcPr>
          <w:p/>
        </w:tc>
        <w:tc>
          <w:tcPr>
            <w:tcW w:type="dxa" w:w="238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247"/>
            <w:vAlign w:val="center"/>
          </w:tcPr>
          <w:p/>
        </w:tc>
        <w:tc>
          <w:tcPr>
            <w:tcW w:type="dxa" w:w="1247"/>
            <w:vAlign w:val="center"/>
          </w:tcPr>
          <w:p/>
        </w:tc>
        <w:tc>
          <w:tcPr>
            <w:tcW w:type="dxa" w:w="1020"/>
            <w:vAlign w:val="center"/>
          </w:tcPr>
          <w:p/>
        </w:tc>
      </w:tr>
      <w:tr>
        <w:trPr>
          <w:cantSplit/>
          <w:trHeight w:val="539" w:hRule="atLeast"/>
        </w:trPr>
        <w:tc>
          <w:tcPr>
            <w:tcW w:type="dxa" w:w="1814"/>
            <w:vAlign w:val="center"/>
          </w:tcPr>
          <w:p/>
        </w:tc>
        <w:tc>
          <w:tcPr>
            <w:tcW w:type="dxa" w:w="238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247"/>
            <w:vAlign w:val="center"/>
          </w:tcPr>
          <w:p/>
        </w:tc>
        <w:tc>
          <w:tcPr>
            <w:tcW w:type="dxa" w:w="1247"/>
            <w:vAlign w:val="center"/>
          </w:tcPr>
          <w:p/>
        </w:tc>
        <w:tc>
          <w:tcPr>
            <w:tcW w:type="dxa" w:w="1020"/>
            <w:vAlign w:val="center"/>
          </w:tcPr>
          <w:p/>
        </w:tc>
      </w:tr>
      <w:tr>
        <w:trPr>
          <w:cantSplit/>
          <w:trHeight w:val="539" w:hRule="atLeast"/>
        </w:trPr>
        <w:tc>
          <w:tcPr>
            <w:tcW w:type="dxa" w:w="1814"/>
            <w:vAlign w:val="center"/>
          </w:tcPr>
          <w:p/>
        </w:tc>
        <w:tc>
          <w:tcPr>
            <w:tcW w:type="dxa" w:w="238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247"/>
            <w:vAlign w:val="center"/>
          </w:tcPr>
          <w:p/>
        </w:tc>
        <w:tc>
          <w:tcPr>
            <w:tcW w:type="dxa" w:w="1247"/>
            <w:vAlign w:val="center"/>
          </w:tcPr>
          <w:p/>
        </w:tc>
        <w:tc>
          <w:tcPr>
            <w:tcW w:type="dxa" w:w="1020"/>
            <w:vAlign w:val="center"/>
          </w:tcPr>
          <w:p/>
        </w:tc>
      </w:tr>
    </w:tbl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Si el manejo es solo cultural, escribe “sin insumos” y detalla las prácticas en el apartado 4. No dejes este cuadro en blanco.</w:t>
      </w:r>
    </w:p>
    <w:p>
      <w:pPr>
        <w:pStyle w:val="Heading1"/>
        <w:spacing w:before="160"/>
      </w:pPr>
      <w:r>
        <w:t>4. Prácticas culturales</w:t>
      </w:r>
    </w:p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Riego, nutrición, poda, manejo de sombra, control de malezas, muestreo y eliminación de material afectado. Indica frecuencia y momento.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  <w:trHeight w:val="1134" w:hRule="atLeast"/>
        </w:trPr>
        <w:tc>
          <w:tcPr>
            <w:tcW w:type="dxa" w:w="9411"/>
            <w:shd w:val="clear" w:color="auto" w:fill="F7F3EA"/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spacing w:before="160"/>
      </w:pPr>
      <w:r>
        <w:t>5. Seguimiento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835"/>
        <w:gridCol w:w="2948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Fecha de revisión</w:t>
            </w:r>
          </w:p>
        </w:tc>
        <w:tc>
          <w:tcPr>
            <w:tcW w:type="dxa" w:w="2835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Qué evaluar</w:t>
            </w:r>
          </w:p>
        </w:tc>
        <w:tc>
          <w:tcPr>
            <w:tcW w:type="dxa" w:w="2948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Umbral o criterio de decisión</w:t>
            </w:r>
          </w:p>
        </w:tc>
        <w:tc>
          <w:tcPr>
            <w:tcW w:type="dxa" w:w="1814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Responsable</w:t>
            </w:r>
          </w:p>
        </w:tc>
      </w:tr>
      <w:tr>
        <w:trPr>
          <w:cantSplit/>
          <w:trHeight w:val="482" w:hRule="atLeast"/>
        </w:trPr>
        <w:tc>
          <w:tcPr>
            <w:tcW w:type="dxa" w:w="1814"/>
            <w:vAlign w:val="center"/>
          </w:tcPr>
          <w:p/>
        </w:tc>
        <w:tc>
          <w:tcPr>
            <w:tcW w:type="dxa" w:w="2835"/>
            <w:vAlign w:val="center"/>
          </w:tcPr>
          <w:p/>
        </w:tc>
        <w:tc>
          <w:tcPr>
            <w:tcW w:type="dxa" w:w="2948"/>
            <w:vAlign w:val="center"/>
          </w:tcPr>
          <w:p/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82" w:hRule="atLeast"/>
        </w:trPr>
        <w:tc>
          <w:tcPr>
            <w:tcW w:type="dxa" w:w="1814"/>
            <w:vAlign w:val="center"/>
          </w:tcPr>
          <w:p/>
        </w:tc>
        <w:tc>
          <w:tcPr>
            <w:tcW w:type="dxa" w:w="2835"/>
            <w:vAlign w:val="center"/>
          </w:tcPr>
          <w:p/>
        </w:tc>
        <w:tc>
          <w:tcPr>
            <w:tcW w:type="dxa" w:w="2948"/>
            <w:vAlign w:val="center"/>
          </w:tcPr>
          <w:p/>
        </w:tc>
        <w:tc>
          <w:tcPr>
            <w:tcW w:type="dxa" w:w="1814"/>
            <w:vAlign w:val="center"/>
          </w:tcPr>
          <w:p/>
        </w:tc>
      </w:tr>
      <w:tr>
        <w:trPr>
          <w:cantSplit/>
          <w:trHeight w:val="482" w:hRule="atLeast"/>
        </w:trPr>
        <w:tc>
          <w:tcPr>
            <w:tcW w:type="dxa" w:w="1814"/>
            <w:vAlign w:val="center"/>
          </w:tcPr>
          <w:p/>
        </w:tc>
        <w:tc>
          <w:tcPr>
            <w:tcW w:type="dxa" w:w="2835"/>
            <w:vAlign w:val="center"/>
          </w:tcPr>
          <w:p/>
        </w:tc>
        <w:tc>
          <w:tcPr>
            <w:tcW w:type="dxa" w:w="2948"/>
            <w:vAlign w:val="center"/>
          </w:tcPr>
          <w:p/>
        </w:tc>
        <w:tc>
          <w:tcPr>
            <w:tcW w:type="dxa" w:w="1814"/>
            <w:vAlign w:val="center"/>
          </w:tcPr>
          <w:p/>
        </w:tc>
      </w:tr>
    </w:tbl>
    <w:p>
      <w:pPr>
        <w:pStyle w:val="Heading1"/>
        <w:spacing w:before="160"/>
      </w:pPr>
      <w:r>
        <w:t>6. Advertencias de seguridad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Lee la etiqueta y la hoja de datos de seguridad; usa equipo de protección personal.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No apliques con viento fuerte, lluvia inminente o temperaturas extremas.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Respeta el intervalo de seguridad y el periodo de reingreso al cultivo.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Dispón envases y residuos conforme al plan de manejo y a la autoridad local.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Si aparecen síntomas nuevos o el problema se extiende, contacta antes de reaplicar.</w:t>
      </w:r>
    </w:p>
    <w:p>
      <w:pPr>
        <w:pStyle w:val="Heading1"/>
        <w:spacing w:before="160"/>
      </w:pPr>
      <w:r>
        <w:t>7. Firmas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rHeight w:val="1871" w:hRule="atLeast"/>
        </w:trPr>
        <w:tc>
          <w:tcPr>
            <w:tcW w:type="dxa" w:w="4706"/>
            <w:vAlign w:val="top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1F3D2B"/>
                <w:sz w:val="17"/>
              </w:rPr>
              <w:t>Ingeniero agrónomo responsable</w:t>
            </w:r>
          </w:p>
          <w:p/>
          <w:p/>
          <w:p>
            <w:pPr>
              <w:pBdr>
                <w:bottom w:val="single" w:sz="6" w:space="2" w:color="4F6F52"/>
              </w:pBd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Nombre y firma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Cédula profesional: ______________</w:t>
            </w:r>
          </w:p>
        </w:tc>
        <w:tc>
          <w:tcPr>
            <w:tcW w:type="dxa" w:w="4706"/>
            <w:vAlign w:val="top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1F3D2B"/>
                <w:sz w:val="17"/>
              </w:rPr>
              <w:t>Recibí de conformidad</w:t>
            </w:r>
          </w:p>
          <w:p/>
          <w:p/>
          <w:p>
            <w:pPr>
              <w:pBdr>
                <w:bottom w:val="single" w:sz="6" w:space="2" w:color="4F6F52"/>
              </w:pBdr>
              <w:spacing w:after="4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Productor o representante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5F6B60"/>
                <w:sz w:val="15"/>
              </w:rPr>
              <w:t>Fecha: ____ / ____ / ________</w:t>
            </w:r>
          </w:p>
        </w:tc>
      </w:tr>
    </w:tbl>
    <w:p>
      <w:pPr>
        <w:spacing w:before="80"/>
      </w:pPr>
      <w:r>
        <w:rPr>
          <w:rFonts w:ascii="Calibri" w:hAnsi="Calibri"/>
          <w:i/>
          <w:color w:val="5F6B60"/>
          <w:sz w:val="15"/>
        </w:rPr>
        <w:t>Esta hoja resume una recomendación técnica para la parcela descrita. No sustituye el análisis de laboratorio, la asistencia de seguimiento ni la normativa en materia de sanidad, fertilizantes o plaguicidas.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60"/>
        <w:sz w:val="14"/>
      </w:rPr>
    </w:r>
    <w:r>
      <w:rPr>
        <w:rFonts w:ascii="Calibri" w:hAnsi="Calibri"/>
        <w:color w:val="5F6B60"/>
        <w:sz w:val="14"/>
      </w:rPr>
      <w:t xml:space="preserve">Documento de apoyo · No sustituye el juicio profesional ni la normativa aplicable · Página </w:t>
    </w:r>
    <w:r>
      <w:rPr>
        <w:rFonts w:ascii="Calibri" w:hAnsi="Calibri"/>
        <w:color w:val="5F6B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5F6B60"/>
        <w:sz w:val="14"/>
      </w:rPr>
      <w:t xml:space="preserve"> de </w:t>
    </w:r>
    <w:r>
      <w:rPr>
        <w:rFonts w:ascii="Calibri" w:hAnsi="Calibri"/>
        <w:color w:val="5F6B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4F6F52"/>
      </w:pBdr>
      <w:spacing w:after="0"/>
      <w:jc w:val="right"/>
    </w:pPr>
    <w:r/>
    <w:r>
      <w:rPr>
        <w:rFonts w:ascii="Calibri" w:hAnsi="Calibri"/>
        <w:b/>
        <w:color w:val="1F3D2B"/>
        <w:spacing w:val="20"/>
        <w:sz w:val="15"/>
      </w:rPr>
      <w:t>AGRODIAGNÓSTICO</w:t>
    </w:r>
    <w:r>
      <w:rPr>
        <w:rFonts w:ascii="Calibri" w:hAnsi="Calibri"/>
        <w:b/>
        <w:color w:val="4F6F52"/>
        <w:spacing w:val="20"/>
        <w:sz w:val="15"/>
      </w:rPr>
      <w:t xml:space="preserve"> · KIT PARA INGENIEROS AGRÓNOMOS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4" w:lineRule="auto"/>
    </w:pPr>
    <w:rPr>
      <w:rFonts w:ascii="Calibri" w:hAnsi="Calibri"/>
      <w:color w:val="1B24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40"/>
      <w:outlineLvl w:val="0"/>
    </w:pPr>
    <w:rPr>
      <w:rFonts w:ascii="Calibri" w:hAnsi="Calibri"/>
      <w:b/>
      <w:bCs/>
      <w:color w:val="1F3D2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="Calibri" w:hAnsi="Calibri"/>
      <w:b/>
      <w:bCs/>
      <w:color w:val="1F3D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6F52"/>
      </w:pBdr>
      <w:spacing w:after="40" w:line="240" w:lineRule="auto" w:before="40"/>
      <w:contextualSpacing/>
    </w:pPr>
    <w:rPr>
      <w:rFonts w:ascii="Calibri" w:hAnsi="Calibri"/>
      <w:b/>
      <w:color w:val="1F3D2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recomendación técnica</dc:title>
  <dc:subject/>
  <dc:creator>AgroDiagnóstico</dc:creator>
  <cp:keywords>agronomía, casos de campo, datos abiertos, México</cp:keywords>
  <dc:description>Kit para ingenieros agrónomos · Licencia CC BY-NC-SA 4.0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