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Checklist de consentimiento y anonimización</w:t>
      </w:r>
    </w:p>
    <w:p>
      <w:pPr>
        <w:spacing w:after="280"/>
      </w:pPr>
      <w:r>
        <w:rPr>
          <w:i/>
          <w:color w:val="64746E"/>
          <w:sz w:val="22"/>
        </w:rPr>
        <w:t>Imprime esta lista y revísala antes de publicar un caso en el portal o compartirlo con colegas.</w:t>
      </w:r>
    </w:p>
    <w:p>
      <w:r>
        <w:t>Este documento no sustituye el consentimiento informado de tu institución. Úsalo como verificación interna y conserva el consentimiento firmado en el expediente.</w:t>
      </w:r>
    </w:p>
    <w:p>
      <w:pPr>
        <w:pStyle w:val="Heading1"/>
      </w:pPr>
      <w:r>
        <w:t>Consentimiento del tutor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Expliqué al tutor que el caso será público y podrá ser citado.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Expliqué que no se publicarán datos que identifiquen a la persona o al animal.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El tutor autorizó el uso educativo del caso y de las imágenes.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El tutor sabe que puede solicitar la corrección o retiro del contenido.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Conservo el consentimiento firmado o el registro institucional correspondiente.</w:t>
            </w:r>
          </w:p>
        </w:tc>
      </w:tr>
    </w:tbl>
    <w:p/>
    <w:p>
      <w:pPr>
        <w:pStyle w:val="Heading1"/>
      </w:pPr>
      <w:r>
        <w:t>Anonimización del texto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Eliminé el nombre del tutor y del paciente.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Eliminé direcciones, teléfonos, correos y redes sociales.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Eliminé números de expediente, folios internos y datos de facturación.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Eliminé nombres de personas del equipo cuando no sean relevantes.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Revisé que la combinación de edad, raza, colonia y fecha no permita identificar al caso.</w:t>
            </w:r>
          </w:p>
        </w:tc>
      </w:tr>
    </w:tbl>
    <w:p/>
    <w:p>
      <w:pPr>
        <w:pStyle w:val="Heading1"/>
      </w:pPr>
      <w:r>
        <w:t>Imágenes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No aparecen personas, gafetes, documentos ni pantallas con datos.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No se ven placas, microchips, collares con nombre ni señas particulares.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Recorté o difuminé cualquier identificador visual.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Las imágenes tienen relación clínica y no muestran sufrimiento innecesario.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Cuento con autorización para publicar las imágenes.</w:t>
            </w:r>
          </w:p>
        </w:tc>
      </w:tr>
    </w:tbl>
    <w:p/>
    <w:p>
      <w:pPr>
        <w:pStyle w:val="Heading1"/>
      </w:pPr>
      <w:r>
        <w:t>Publicación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El caso no contiene publicidad encubierta ni promoción de productos.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El diagnóstico está sustentado y las limitaciones se explican con honestidad.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Elegí la licencia de publicación (por defecto CC BY-NC-SA 4.0).</w:t>
            </w:r>
          </w:p>
        </w:tc>
      </w:tr>
      <w:tr>
        <w:tc>
          <w:tcPr>
            <w:tcW w:type="dxa" w:w="567"/>
          </w:tcPr>
          <w:p>
            <w:pPr>
              <w:spacing w:after="40" w:before="40"/>
            </w:pPr>
            <w:r/>
            <w:r>
              <w:rPr>
                <w:b/>
              </w:rPr>
              <w:t>☐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  <w:t>Revisé el texto antes de enviarlo a revisión editorial.</w:t>
            </w:r>
          </w:p>
        </w:tc>
      </w:tr>
    </w:tbl>
    <w:p/>
    <w:p>
      <w:pPr>
        <w:pStyle w:val="Heading1"/>
      </w:pPr>
      <w:r>
        <w:t>Firmas de verificación interna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  <w:shd w:val="clear" w:color="auto" w:fill="F7F3EA"/>
          </w:tcPr>
          <w:p>
            <w:pPr>
              <w:spacing w:after="40" w:before="40"/>
            </w:pPr>
            <w:r/>
            <w:r>
              <w:rPr>
                <w:b/>
              </w:rPr>
              <w:t>Revisó (nombre)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4873"/>
            <w:shd w:val="clear" w:color="auto" w:fill="F7F3EA"/>
          </w:tcPr>
          <w:p>
            <w:pPr>
              <w:spacing w:after="40" w:before="40"/>
            </w:pPr>
            <w:r/>
            <w:r>
              <w:rPr>
                <w:b/>
              </w:rPr>
              <w:t>Cargo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4873"/>
            <w:shd w:val="clear" w:color="auto" w:fill="F7F3EA"/>
          </w:tcPr>
          <w:p>
            <w:pPr>
              <w:spacing w:after="40" w:before="40"/>
            </w:pPr>
            <w:r/>
            <w:r>
              <w:rPr>
                <w:b/>
              </w:rPr>
              <w:t>Fecha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</w:r>
          </w:p>
        </w:tc>
      </w:tr>
      <w:tr>
        <w:tc>
          <w:tcPr>
            <w:tcW w:type="dxa" w:w="4873"/>
            <w:shd w:val="clear" w:color="auto" w:fill="F7F3EA"/>
          </w:tcPr>
          <w:p>
            <w:pPr>
              <w:spacing w:after="40" w:before="40"/>
            </w:pPr>
            <w:r/>
            <w:r>
              <w:rPr>
                <w:b/>
              </w:rPr>
              <w:t>Firma</w:t>
            </w:r>
          </w:p>
        </w:tc>
        <w:tc>
          <w:tcPr>
            <w:tcW w:type="dxa" w:w="4873"/>
          </w:tcPr>
          <w:p>
            <w:pPr>
              <w:spacing w:after="40" w:before="40"/>
            </w:pPr>
            <w:r/>
            <w:r>
              <w:rPr>
                <w:b w:val="0"/>
              </w:rPr>
            </w:r>
          </w:p>
        </w:tc>
      </w:tr>
    </w:tbl>
    <w:p/>
    <w:sectPr w:rsidR="00FC693F" w:rsidRPr="0006063C" w:rsidSect="00034616">
      <w:headerReference w:type="default" r:id="rId9"/>
      <w:footerReference w:type="default" r:id="rId10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4746E"/>
        <w:sz w:val="16"/>
      </w:rPr>
      <w:t>Documento educativo · No sustituye el juicio clínico ni la normativa aplicable.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4746E"/>
        <w:sz w:val="16"/>
      </w:rPr>
      <w:t>DIAGNÓSTICO VETERINARIO · KIT PARA VETERINARIOS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Calibri" w:hAnsi="Calibri"/>
      <w:color w:val="12211D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D5C4D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5C4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80"/>
      <w:contextualSpacing/>
    </w:pPr>
    <w:rPr>
      <w:rFonts w:asciiTheme="majorHAnsi" w:eastAsiaTheme="majorEastAsia" w:hAnsiTheme="majorHAnsi" w:cstheme="majorBidi" w:ascii="Calibri" w:hAnsi="Calibri"/>
      <w:b/>
      <w:color w:val="0D5C4D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