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 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rnwizsrn1crt1"/>
      <w:bookmarkEnd w:id="5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No</w:t>
      </w:r>
    </w:p>
    <w:p>
      <w:pPr>
        <w:pStyle w:val="Heading1"/>
        <w:rPr/>
      </w:pPr>
      <w:bookmarkStart w:id="6" w:name="_rnwizsrn1crt2"/>
      <w:bookmarkEnd w:id="6"/>
      <w:r>
        <w:rPr/>
        <w:t>Problem #5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 xml:space="preserve">Partially 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Some of it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Some of it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Not applicable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7" w:name="_i9npdp6lp7kp"/>
    <w:bookmarkStart w:id="8" w:name="_i9npdp6lp7kp"/>
    <w:bookmarkEnd w:id="8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9" w:name="_hv6t5aw6w8dg"/>
    <w:bookmarkEnd w:id="9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LibreOffice/7.3.1.3$Linux_X86_64 LibreOffice_project/30$Build-3</Application>
  <AppVersion>15.0000</AppVersion>
  <Pages>3</Pages>
  <Words>218</Words>
  <Characters>1019</Characters>
  <CharactersWithSpaces>1296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2022-03-29T23:11:33Z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