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rPr>
          <w:rFonts w:ascii="Times New Roman" w:cs="Times New Roman" w:eastAsia="Times New Roman" w:hAnsi="Times New Roman"/>
          <w:b/>
          <w:bCs/>
          <w:color w:val="000000"/>
          <w:sz w:val="32"/>
          <w:szCs w:val="32"/>
        </w:rPr>
        <w:t xml:space="preserve">1. Bölüm: Kelamın Doğuşu: İlk Sorular</w:t>
      </w:r>
    </w:p>
    <w:p>
      <w:pPr>
        <w:pStyle w:val="Heading2"/>
        <w:spacing w:after="200" w:before="200"/>
      </w:pPr>
      <w:r>
        <w:rPr>
          <w:rFonts w:ascii="Times New Roman" w:cs="Times New Roman" w:eastAsia="Times New Roman" w:hAnsi="Times New Roman"/>
          <w:b/>
          <w:bCs/>
          <w:color w:val="000000"/>
          <w:sz w:val="28"/>
          <w:szCs w:val="28"/>
        </w:rPr>
        <w:t xml:space="preserve">Kelam Nedir?</w:t>
      </w:r>
    </w:p>
    <w:p>
      <w:pPr>
        <w:pStyle w:val="Heading3"/>
        <w:spacing w:after="100" w:before="150"/>
      </w:pPr>
      <w:r>
        <w:rPr>
          <w:rFonts w:ascii="Times New Roman" w:cs="Times New Roman" w:eastAsia="Times New Roman" w:hAnsi="Times New Roman"/>
          <w:b/>
          <w:bCs/>
          <w:color w:val="000000"/>
          <w:sz w:val="26"/>
          <w:szCs w:val="26"/>
        </w:rPr>
        <w:t xml:space="preserve">İsmin Kökeni ve Anlamı</w:t>
      </w:r>
    </w:p>
    <w:p>
      <w:pPr>
        <w:spacing w:after="120" w:line="360"/>
        <w:ind w:firstLine="720"/>
      </w:pPr>
      <w:r>
        <w:rPr>
          <w:rFonts w:ascii="Times New Roman" w:cs="Times New Roman" w:eastAsia="Times New Roman" w:hAnsi="Times New Roman"/>
          <w:sz w:val="24"/>
          <w:szCs w:val="24"/>
        </w:rPr>
        <w:t xml:space="preserve">İslam düşünce tarihinin en köklü ve özgün disiplinlerinden biri olan kelam, erken dönem İslam toplumunun inanç, akıl ve vahiy etrafında şekillendirdiği soruların ürünüdür. Bu ilk bölüm, kelamın ne olduğunu, nasıl ortaya çıktığını ve hangi tarihsel koşullar içinde bir ilim dalı hâline geldiğini ele almaktadır. Söz konusu sorular, hem İslam entelektüel tarihinin iç dinamiklerini hem de bu geleneğin Antik Yunan, İran ve Hint felsefî miraslarıyla kurduğu diyalogu anlamak bakımından vazgeçilmez bir başlangıç noktası oluşturmaktadır. Bölüm boyunca kelamın yalnızca bir "İslam teolojisi" olarak değil, kendine özgü yöntemi, terminolojisi ve problematikleriyle bağımsız bir entelektüel gelenek olarak kavranması gerektiği gösterilmeye çalışılacaktır.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i/>
          <w:iCs/>
          <w:sz w:val="24"/>
          <w:szCs w:val="24"/>
        </w:rPr>
        <w:t xml:space="preserve">İsmin Kökeni ve Anlamı</w:t>
      </w:r>
    </w:p>
    <w:p>
      <w:pPr>
        <w:spacing w:after="120" w:line="360"/>
        <w:ind w:firstLine="720"/>
      </w:pPr>
      <w:r>
        <w:rPr>
          <w:rFonts w:ascii="Times New Roman" w:cs="Times New Roman" w:eastAsia="Times New Roman" w:hAnsi="Times New Roman"/>
          <w:sz w:val="24"/>
          <w:szCs w:val="24"/>
        </w:rPr>
        <w:t xml:space="preserve">Kelam (كَلَام) sözcüğü, Arapçada "söz", "konuşma" ve "dil ile ifade edilen anlam" karşılıklarını taşıyan bir mastardır; kök itibarıyla k-l-m (ك-ل-م) fiilinden türemiş olup sözlük anlamıyla her türlü düzenli ve anlamlı söz dizisini ifade eder. Terim olarak ise bu sözcük, başta Allah'ın varlığı, birliği ve sıfatları olmak üzere nübüvvet, âhiret ve imamet gibi temel inanç meselelerini aklî yöntemlerle temellendirip savunmayı amaçlayan ilim dalının adına dönüşmüştür.</w:t>
      </w:r>
      <w:r>
        <w:rPr>
          <w:rStyle w:val="FootnoteReference"/>
        </w:rPr>
        <w:footnoteReference w:id="1"/>
      </w:r>
      <w:r>
        <w:rPr>
          <w:rFonts w:ascii="Times New Roman" w:cs="Times New Roman" w:eastAsia="Times New Roman" w:hAnsi="Times New Roman"/>
          <w:sz w:val="24"/>
          <w:szCs w:val="24"/>
        </w:rPr>
        <w:t xml:space="preserve"> Disiplinin bu adı almasına ilişkin akademik literatürde birden fazla açıklama öne sürülmüştür: bir görüşe göre ilk büyük tartışmaların "Allah'ın kelâmı"nın —yani Kur'ân'ın— yaratılmış olup olmadığı meselesi etrafında yoğunlaşması, bu adlandırmayı doğal kılmıştır; bir diğer görüşe göre ise kelamcıların argüman geliştirme biçiminin bizzat kendisi, yani söz ve karşı-söz üzerine kurulu diyalektik usul, disipline bu ismi kazandırmıştır.</w:t>
      </w:r>
    </w:p>
    <w:p>
      <w:pPr>
        <w:spacing w:after="120" w:line="360"/>
        <w:ind w:firstLine="720"/>
      </w:pPr>
      <w:r>
        <w:rPr>
          <w:rFonts w:ascii="Times New Roman" w:cs="Times New Roman" w:eastAsia="Times New Roman" w:hAnsi="Times New Roman"/>
          <w:sz w:val="24"/>
          <w:szCs w:val="24"/>
        </w:rPr>
        <w:t xml:space="preserve">Kelam, tarih boyunca birden fazla adla anılmıştır. </w:t>
      </w:r>
      <w:r>
        <w:rPr>
          <w:rFonts w:ascii="Times New Roman" w:cs="Times New Roman" w:eastAsia="Times New Roman" w:hAnsi="Times New Roman"/>
          <w:i/>
          <w:iCs/>
          <w:sz w:val="24"/>
          <w:szCs w:val="24"/>
        </w:rPr>
        <w:t xml:space="preserve">İlm-i kelâm</w:t>
      </w:r>
      <w:r>
        <w:rPr>
          <w:rFonts w:ascii="Times New Roman" w:cs="Times New Roman" w:eastAsia="Times New Roman" w:hAnsi="Times New Roman"/>
          <w:sz w:val="24"/>
          <w:szCs w:val="24"/>
        </w:rPr>
        <w:t xml:space="preserve"> (علم الكلام) ifadesi bu adlandırmanın en yaygın ve teknik formülasyonudur; "kelam ilmi" anlamına gelir ve disiplinin sistematik bir bilgi alanı olarak tanınmasını yansıtır. </w:t>
      </w:r>
      <w:r>
        <w:rPr>
          <w:rFonts w:ascii="Times New Roman" w:cs="Times New Roman" w:eastAsia="Times New Roman" w:hAnsi="Times New Roman"/>
          <w:i/>
          <w:iCs/>
          <w:sz w:val="24"/>
          <w:szCs w:val="24"/>
        </w:rPr>
        <w:t xml:space="preserve">Usûlü'd-dîn</w:t>
      </w:r>
      <w:r>
        <w:rPr>
          <w:rFonts w:ascii="Times New Roman" w:cs="Times New Roman" w:eastAsia="Times New Roman" w:hAnsi="Times New Roman"/>
          <w:sz w:val="24"/>
          <w:szCs w:val="24"/>
        </w:rPr>
        <w:t xml:space="preserve"> (أصول الدين), yani "dinin temelleri" ya da "dinin usulü" tabiri ise daha normatif bir perspektifi öne çıkarmakta; kelamın İslam akidesinin dayandığı temel ilkeleri belirleme işlevi üzerinde durmaktadır. Bunlara ek olarak </w:t>
      </w:r>
      <w:r>
        <w:rPr>
          <w:rFonts w:ascii="Times New Roman" w:cs="Times New Roman" w:eastAsia="Times New Roman" w:hAnsi="Times New Roman"/>
          <w:i/>
          <w:iCs/>
          <w:sz w:val="24"/>
          <w:szCs w:val="24"/>
        </w:rPr>
        <w:t xml:space="preserve">akāid</w:t>
      </w:r>
      <w:r>
        <w:rPr>
          <w:rFonts w:ascii="Times New Roman" w:cs="Times New Roman" w:eastAsia="Times New Roman" w:hAnsi="Times New Roman"/>
          <w:sz w:val="24"/>
          <w:szCs w:val="24"/>
        </w:rPr>
        <w:t xml:space="preserve"> (عقائد) terimi —"inanç esasları" anlamında— özellikle daha kısa ve özlü inanç metinlerini, yani akide risalelerini tanımlamak için kullanılmış; bu kullanım zamanla ilmin kendisini adlandıran bir terime dönüşmüştür. Bazı kaynaklarda rastlanan </w:t>
      </w:r>
      <w:r>
        <w:rPr>
          <w:rFonts w:ascii="Times New Roman" w:cs="Times New Roman" w:eastAsia="Times New Roman" w:hAnsi="Times New Roman"/>
          <w:i/>
          <w:iCs/>
          <w:sz w:val="24"/>
          <w:szCs w:val="24"/>
        </w:rPr>
        <w:t xml:space="preserve">ilmü't-tevhîd ve's-sıfât</w:t>
      </w:r>
      <w:r>
        <w:rPr>
          <w:rFonts w:ascii="Times New Roman" w:cs="Times New Roman" w:eastAsia="Times New Roman" w:hAnsi="Times New Roman"/>
          <w:sz w:val="24"/>
          <w:szCs w:val="24"/>
        </w:rPr>
        <w:t xml:space="preserve"> (علم التوحيد والصفات) nitelendirmesi ise disiplinin içeriğini —Allah'ın birliği ve ilahî sıfatlar meselesini— doğrudan ön plana taşıyan betimleyici bir başlıktır.</w:t>
      </w:r>
      <w:r>
        <w:rPr>
          <w:rStyle w:val="FootnoteReference"/>
        </w:rPr>
        <w:footnoteReference w:id="2"/>
      </w:r>
    </w:p>
    <w:p>
      <w:pPr>
        <w:spacing w:after="120" w:line="360"/>
        <w:ind w:firstLine="720"/>
      </w:pPr>
      <w:r>
        <w:rPr>
          <w:rFonts w:ascii="Times New Roman" w:cs="Times New Roman" w:eastAsia="Times New Roman" w:hAnsi="Times New Roman"/>
          <w:sz w:val="24"/>
          <w:szCs w:val="24"/>
        </w:rPr>
        <w:t xml:space="preserve">Batı akademik literatüründe kelam, en yaygın biçimde </w:t>
      </w:r>
      <w:r>
        <w:rPr>
          <w:rFonts w:ascii="Times New Roman" w:cs="Times New Roman" w:eastAsia="Times New Roman" w:hAnsi="Times New Roman"/>
          <w:i/>
          <w:iCs/>
          <w:sz w:val="24"/>
          <w:szCs w:val="24"/>
        </w:rPr>
        <w:t xml:space="preserve">Islamic theology</w:t>
      </w:r>
      <w:r>
        <w:rPr>
          <w:rFonts w:ascii="Times New Roman" w:cs="Times New Roman" w:eastAsia="Times New Roman" w:hAnsi="Times New Roman"/>
          <w:sz w:val="24"/>
          <w:szCs w:val="24"/>
        </w:rPr>
        <w:t xml:space="preserve"> —"İslam teolojisi"— olarak karşılanmaktadır. Bu çeviri, disiplinin genel karakterini aktarmak bakımından işlevsel olmakla birlikte, beraberinde ciddi bir anlam kaybı riski taşımaktadır: Hristiyan teolojisinden devşirilen "teoloji" kavramı, Batılı okuyucuda kelamın örtüşmediği kurumsal, litürjik ve dogmatik çağrışımlar uyandırabilmektedir. Nitekim kelamın kendine özgü aklî yöntemi, klasik Yunan diyalektiğiyle kurduğu ilişkinin özgünlüğü ve vahiy-akıl gerilimini ele alış biçimi, onu salt bir "İslam teolojisi"ne indirgeyen çevirinin ötesinde bir konumda değerlendirmeyi zorunlu kılmaktadır.</w:t>
      </w:r>
      <w:r>
        <w:rPr>
          <w:rStyle w:val="FootnoteReference"/>
        </w:rPr>
        <w:footnoteReference w:id="3"/>
      </w:r>
      <w:r>
        <w:rPr>
          <w:rFonts w:ascii="Times New Roman" w:cs="Times New Roman" w:eastAsia="Times New Roman" w:hAnsi="Times New Roman"/>
          <w:sz w:val="24"/>
          <w:szCs w:val="24"/>
        </w:rPr>
        <w:t xml:space="preserve"> Bu çeviri sorunu, kelamın ne olduğunu tam anlamıyla kavrayabilmek için disiplinin konusunu ve amacını da ayrıca ele almayı gerektirmektedir.</w:t>
      </w:r>
    </w:p>
    <w:p>
      <w:pPr>
        <w:pStyle w:val="Heading3"/>
        <w:spacing w:after="100" w:before="150"/>
      </w:pPr>
      <w:r>
        <w:rPr>
          <w:rFonts w:ascii="Times New Roman" w:cs="Times New Roman" w:eastAsia="Times New Roman" w:hAnsi="Times New Roman"/>
          <w:b/>
          <w:bCs/>
          <w:color w:val="000000"/>
          <w:sz w:val="26"/>
          <w:szCs w:val="26"/>
        </w:rPr>
        <w:t xml:space="preserve">Kelamın Konusu ve Amacı</w:t>
      </w:r>
    </w:p>
    <w:p>
      <w:pPr>
        <w:spacing w:after="120" w:line="360"/>
        <w:ind w:firstLine="720"/>
      </w:pPr>
      <w:r>
        <w:rPr>
          <w:rFonts w:ascii="Times New Roman" w:cs="Times New Roman" w:eastAsia="Times New Roman" w:hAnsi="Times New Roman"/>
          <w:sz w:val="24"/>
          <w:szCs w:val="24"/>
        </w:rPr>
        <w:t xml:space="preserve">Kelam ilminin adını ve kavramsal çerçevesini belirledikten sonra, bu disiplinin </w:t>
      </w:r>
      <w:r>
        <w:rPr>
          <w:rFonts w:ascii="Times New Roman" w:cs="Times New Roman" w:eastAsia="Times New Roman" w:hAnsi="Times New Roman"/>
          <w:i/>
          <w:iCs/>
          <w:sz w:val="24"/>
          <w:szCs w:val="24"/>
        </w:rPr>
        <w:t xml:space="preserve">neyi</w:t>
      </w:r>
      <w:r>
        <w:rPr>
          <w:rFonts w:ascii="Times New Roman" w:cs="Times New Roman" w:eastAsia="Times New Roman" w:hAnsi="Times New Roman"/>
          <w:sz w:val="24"/>
          <w:szCs w:val="24"/>
        </w:rPr>
        <w:t xml:space="preserve"> araştırdığı ve </w:t>
      </w:r>
      <w:r>
        <w:rPr>
          <w:rFonts w:ascii="Times New Roman" w:cs="Times New Roman" w:eastAsia="Times New Roman" w:hAnsi="Times New Roman"/>
          <w:i/>
          <w:iCs/>
          <w:sz w:val="24"/>
          <w:szCs w:val="24"/>
        </w:rPr>
        <w:t xml:space="preserve">neden</w:t>
      </w:r>
      <w:r>
        <w:rPr>
          <w:rFonts w:ascii="Times New Roman" w:cs="Times New Roman" w:eastAsia="Times New Roman" w:hAnsi="Times New Roman"/>
          <w:sz w:val="24"/>
          <w:szCs w:val="24"/>
        </w:rPr>
        <w:t xml:space="preserve"> var olduğu sorusu doğal bir biçimde öne çıkar. Klasik tanımlar incelendiğinde kelamın konusunun, özünde, İslam inanç esaslarını hem akıl hem de nakil (vahye dayalı metin) aracılığıyla temellendirmek ve olası itirazlara karşı savunmak olduğu görülür. Taftazânî bu meseleyi veciz biçimde ifade eder: kelam, "Allah'ın zatı ve sıfatları, peygamberlerin gönderilişi ve kıyamet ahvali hakkındaki İslam akidelerini ispat etmeye yarayan bir ilimdir."</w:t>
      </w:r>
      <w:r>
        <w:rPr>
          <w:rStyle w:val="FootnoteReference"/>
        </w:rPr>
        <w:footnoteReference w:id="4"/>
      </w:r>
      <w:r>
        <w:rPr>
          <w:rFonts w:ascii="Times New Roman" w:cs="Times New Roman" w:eastAsia="Times New Roman" w:hAnsi="Times New Roman"/>
          <w:sz w:val="24"/>
          <w:szCs w:val="24"/>
        </w:rPr>
        <w:t xml:space="preserve"> Bu tanım, kelamın üç temel eksen etrafında şekillendiğini ortaya koyar: ilâhiyyât (Allah'ın varlığı ve sıfatları), nübüvviyyât (peygamberlik kurumu) ve sem'iyyât ya da meâd (ahiret, hesap ve öteki dünyaya ilişkin nakle dayalı meseleler).</w:t>
      </w:r>
    </w:p>
    <w:p>
      <w:pPr>
        <w:spacing w:after="120" w:line="360"/>
        <w:ind w:firstLine="720"/>
      </w:pPr>
      <w:r>
        <w:rPr>
          <w:rFonts w:ascii="Times New Roman" w:cs="Times New Roman" w:eastAsia="Times New Roman" w:hAnsi="Times New Roman"/>
          <w:sz w:val="24"/>
          <w:szCs w:val="24"/>
        </w:rPr>
        <w:t xml:space="preserve">İlâhiyyât, kelamın en merkezi alanını oluşturur. Allah'ın varlığının ispatı, birliği (tevhid) ve sıfatlarının mahiyeti—kadim mi, hâdis mi; zâtî mi, fiilî mi olduğu—bu başlık altında ele alınır. Nübüvviyyât ise peygamberliğin aklen mümkün ve zorunlu olup olmadığını, mucizelerle nasıl kanıtlanacağını inceler; böylece salt akılcı felsefi argümanla yetinmeyip vahyin otoritesini de ilmin temel kaynağı olarak kabul eder. Sem'iyyât kategorisinde ise sırf nakle dayanan—ölümden sonra diriliş, sırat, cennet ve cehennem gibi—konular aklın sınırlarının ötesinde, fakat aklın reddetmediği bir alanda değerlendirilir.</w:t>
      </w:r>
      <w:r>
        <w:rPr>
          <w:rStyle w:val="FootnoteReference"/>
        </w:rPr>
        <w:footnoteReference w:id="5"/>
      </w:r>
    </w:p>
    <w:p>
      <w:pPr>
        <w:spacing w:after="120" w:line="360"/>
        <w:ind w:firstLine="720"/>
      </w:pPr>
      <w:r>
        <w:rPr>
          <w:rFonts w:ascii="Times New Roman" w:cs="Times New Roman" w:eastAsia="Times New Roman" w:hAnsi="Times New Roman"/>
          <w:sz w:val="24"/>
          <w:szCs w:val="24"/>
        </w:rPr>
        <w:t xml:space="preserve">Kelamın bu üç eksenli yapısı, onun metodolojisini de belirler. Akıl ve nakil, kelamda birbirini dışlamayan iki kaynak olarak iş görür: akıl, inancın makul olduğunu göstermek için devreye girerken nakil, aklın kendi başına ulaşamayacağı hakikatleri tescil eder. İbn Haldûn bu ilişkiyi açıklarken kelamcıların, eleştirmenlerin şüphelerini "önce nakille, ardından akli burhanlarla" bertaraf ettiğini vurgular.</w:t>
      </w:r>
      <w:r>
        <w:rPr>
          <w:rStyle w:val="FootnoteReference"/>
        </w:rPr>
        <w:footnoteReference w:id="6"/>
      </w:r>
      <w:r>
        <w:rPr>
          <w:rFonts w:ascii="Times New Roman" w:cs="Times New Roman" w:eastAsia="Times New Roman" w:hAnsi="Times New Roman"/>
          <w:sz w:val="24"/>
          <w:szCs w:val="24"/>
        </w:rPr>
        <w:t xml:space="preserve"> Bu yöntemsel çifte zemin, kelama kendine özgü bir epistemolojik konum kazandırır.</w:t>
      </w:r>
    </w:p>
    <w:p>
      <w:pPr>
        <w:spacing w:after="120" w:line="360"/>
        <w:ind w:firstLine="720"/>
      </w:pPr>
      <w:r>
        <w:rPr>
          <w:rFonts w:ascii="Times New Roman" w:cs="Times New Roman" w:eastAsia="Times New Roman" w:hAnsi="Times New Roman"/>
          <w:sz w:val="24"/>
          <w:szCs w:val="24"/>
        </w:rPr>
        <w:t xml:space="preserve">Söz konusu konum, kelamın komşu disiplinlerden farkını da belirginleştirir. Fıkıh, mükelleflerin pratik eylemlerini (amel) düzenleyen normları araştırırken kelam, bu normlara zemin hazırlayan inanç esaslarını (itikad) ele alır; diğer bir deyişle fıkıh </w:t>
      </w:r>
      <w:r>
        <w:rPr>
          <w:rFonts w:ascii="Times New Roman" w:cs="Times New Roman" w:eastAsia="Times New Roman" w:hAnsi="Times New Roman"/>
          <w:i/>
          <w:iCs/>
          <w:sz w:val="24"/>
          <w:szCs w:val="24"/>
        </w:rPr>
        <w:t xml:space="preserve">ne yapılmalı</w:t>
      </w:r>
      <w:r>
        <w:rPr>
          <w:rFonts w:ascii="Times New Roman" w:cs="Times New Roman" w:eastAsia="Times New Roman" w:hAnsi="Times New Roman"/>
          <w:sz w:val="24"/>
          <w:szCs w:val="24"/>
        </w:rPr>
        <w:t xml:space="preserve"> sorusuna, kelam ise </w:t>
      </w:r>
      <w:r>
        <w:rPr>
          <w:rFonts w:ascii="Times New Roman" w:cs="Times New Roman" w:eastAsia="Times New Roman" w:hAnsi="Times New Roman"/>
          <w:i/>
          <w:iCs/>
          <w:sz w:val="24"/>
          <w:szCs w:val="24"/>
        </w:rPr>
        <w:t xml:space="preserve">neye inanılmalı</w:t>
      </w:r>
      <w:r>
        <w:rPr>
          <w:rFonts w:ascii="Times New Roman" w:cs="Times New Roman" w:eastAsia="Times New Roman" w:hAnsi="Times New Roman"/>
          <w:sz w:val="24"/>
          <w:szCs w:val="24"/>
        </w:rPr>
        <w:t xml:space="preserve"> sorusuna yanıt verir. Felsefe ile ilişki ise daha dolaylı ve gerilimlidir: felsefe varlık, bilgi ve değer üzerine evrensel ve özerk akıl yürütmeler yaparken kelam, başlangıç noktası olarak İslam akidesini kabul eder ve aklı bu akidenin hizmetinde kullanır. Gazzâlî, filozofları eleştirirken tam da bu sınırı işaret etmiş; aklın din dışı bir hareket noktasından ilahî meselelere ulaşamayacağını ileri sürmüştür.</w:t>
      </w:r>
      <w:r>
        <w:rPr>
          <w:rStyle w:val="FootnoteReference"/>
        </w:rPr>
        <w:footnoteReference w:id="7"/>
      </w:r>
    </w:p>
    <w:p>
      <w:pPr>
        <w:spacing w:after="120" w:line="360"/>
        <w:ind w:firstLine="720"/>
      </w:pPr>
      <w:r>
        <w:rPr>
          <w:rFonts w:ascii="Times New Roman" w:cs="Times New Roman" w:eastAsia="Times New Roman" w:hAnsi="Times New Roman"/>
          <w:sz w:val="24"/>
          <w:szCs w:val="24"/>
        </w:rPr>
        <w:t xml:space="preserve">Kelamın konusu ve amacı böylece net bir çerçeveye kavuşur: bu disiplin, İslam'ın temel inançlarını sistematik bir biçimde temellendirmek ve dışarıdan gelen eleştirilere karşı savunmak amacıyla, akıl ile nakli birlikte kullanan normatif bir ilim dalıdır. Bu çerçeve, kelamın soyut bir entelektüel meraktan doğmadığına da işaret eder; bilakis, İslam toplumunun tarihsel olarak karşılaştığı somut siyasi ve toplumsal krizler, teolojik soruları gündeme taşımış ve kelam ilminin ortaya çıkmasına zemin hazırlamıştır. Peki bu krizler nasıl başladı?</w:t>
      </w:r>
    </w:p>
    <w:p>
      <w:pPr>
        <w:pStyle w:val="Heading2"/>
        <w:spacing w:after="200" w:before="200"/>
      </w:pPr>
      <w:r>
        <w:rPr>
          <w:rFonts w:ascii="Times New Roman" w:cs="Times New Roman" w:eastAsia="Times New Roman" w:hAnsi="Times New Roman"/>
          <w:b/>
          <w:bCs/>
          <w:color w:val="000000"/>
          <w:sz w:val="28"/>
          <w:szCs w:val="28"/>
        </w:rPr>
        <w:t xml:space="preserve">İlk Fitne'den Doğan Sorular</w:t>
      </w:r>
    </w:p>
    <w:p>
      <w:pPr>
        <w:pStyle w:val="Heading3"/>
        <w:spacing w:after="100" w:before="150"/>
      </w:pPr>
      <w:r>
        <w:rPr>
          <w:rFonts w:ascii="Times New Roman" w:cs="Times New Roman" w:eastAsia="Times New Roman" w:hAnsi="Times New Roman"/>
          <w:b/>
          <w:bCs/>
          <w:color w:val="000000"/>
          <w:sz w:val="26"/>
          <w:szCs w:val="26"/>
        </w:rPr>
        <w:t xml:space="preserve">Siyasi Krizden Teolojik Sorulara</w:t>
      </w:r>
    </w:p>
    <w:p>
      <w:pPr>
        <w:spacing w:after="120" w:line="360"/>
        <w:ind w:firstLine="720"/>
      </w:pPr>
      <w:r>
        <w:rPr>
          <w:rFonts w:ascii="Times New Roman" w:cs="Times New Roman" w:eastAsia="Times New Roman" w:hAnsi="Times New Roman"/>
          <w:sz w:val="24"/>
          <w:szCs w:val="24"/>
        </w:rPr>
        <w:t xml:space="preserve">Kelam tarihinin fitilini ateşleyen sorular, hiçbir zaman soyut bir merak ortamında doğmadı; aksine kanın döküldüğü savaş meydanlarında, iktidarın el değiştirdiği saray kapılarında ve toplulukların birbirinden koptuğu o derin kırılma anlarında yeşerdi. Bu bölüm, söz konusu kırılma anlarının —İslam tarihinin "Büyük Fitne" olarak andığı dönemin— nasıl teolojik soruların ana kaynağına dönüştüğünü izleyecektir.</w:t>
      </w:r>
    </w:p>
    <w:p>
      <w:pPr>
        <w:spacing w:after="120" w:line="360"/>
        <w:ind w:firstLine="720"/>
      </w:pPr>
      <w:r>
        <w:rPr>
          <w:rFonts w:ascii="Times New Roman" w:cs="Times New Roman" w:eastAsia="Times New Roman" w:hAnsi="Times New Roman"/>
          <w:sz w:val="24"/>
          <w:szCs w:val="24"/>
        </w:rPr>
        <w:t xml:space="preserve">Hz. Osman'ın 35/656 yılında şehit edilmesiyle başlayan süreç, yalnızca siyasi bir iktidar boşluğu yaratmadı; birliğin simgesi sayılan ilk ümmet tasavvurunu da derinden sarstı. Hz. Ali'nin halifeliğinin ilk yıllarını kaplayan iç savaş ortamı —Cemel Savaşı, ardından Sıffin ve nihayetinde Hakem olayı— Müslümanları yalnızca hangi tarafı tutacakları sorusuyla değil, çok daha keskin bir soruyla yüz yüze bıraktı: Bu çatışmalara katılanlar, kendi inançlarını taşıdıkları hâlde birbirini öldürmüşlerdi; peki bu insanlar mümin miydiler, yoksa değil miydiler?</w:t>
      </w:r>
      <w:r>
        <w:rPr>
          <w:rStyle w:val="FootnoteReference"/>
        </w:rPr>
        <w:footnoteReference w:id="8"/>
      </w:r>
      <w:r>
        <w:rPr>
          <w:rFonts w:ascii="Times New Roman" w:cs="Times New Roman" w:eastAsia="Times New Roman" w:hAnsi="Times New Roman"/>
          <w:sz w:val="24"/>
          <w:szCs w:val="24"/>
        </w:rPr>
        <w:t xml:space="preserve"> Bir toplumun, hem ortak bir inancı paylaşan hem de birbirinin canını alan mensuplarını nasıl nitelendireceği sorusu, kelamın ilk ve en yakıcı meselesi hâline geldi.</w:t>
      </w:r>
    </w:p>
    <w:p>
      <w:pPr>
        <w:spacing w:after="120" w:line="360"/>
        <w:ind w:firstLine="720"/>
      </w:pPr>
      <w:r>
        <w:rPr>
          <w:rFonts w:ascii="Times New Roman" w:cs="Times New Roman" w:eastAsia="Times New Roman" w:hAnsi="Times New Roman"/>
          <w:sz w:val="24"/>
          <w:szCs w:val="24"/>
        </w:rPr>
        <w:t xml:space="preserve">Bu kargaşanın içinden çıkan grupların en sert tutumu Haricîlere aitti. Hz. Ali ile Muaviye arasındaki Sıffin Savaşı'nın (37/657) ardından gerçekleştirilen Hakem olayında tahkimi —yani insanların Allah'ın hükmü yerine kendi kararlarını koymasını— kabul edilemez bir sapma olarak değerlendiren bu grup, ünlü sloganlarını yüksek sesle dile getirdi: </w:t>
      </w:r>
      <w:r>
        <w:rPr>
          <w:rFonts w:ascii="Times New Roman" w:cs="Times New Roman" w:eastAsia="Times New Roman" w:hAnsi="Times New Roman"/>
          <w:i/>
          <w:iCs/>
          <w:sz w:val="24"/>
          <w:szCs w:val="24"/>
        </w:rPr>
        <w:t xml:space="preserve">lā ḥukma illā li'llāh</w:t>
      </w:r>
      <w:r>
        <w:rPr>
          <w:rFonts w:ascii="Times New Roman" w:cs="Times New Roman" w:eastAsia="Times New Roman" w:hAnsi="Times New Roman"/>
          <w:sz w:val="24"/>
          <w:szCs w:val="24"/>
        </w:rPr>
        <w:t xml:space="preserve">, "hüküm yalnızca Allah'a aittir."</w:t>
      </w:r>
      <w:r>
        <w:rPr>
          <w:rStyle w:val="FootnoteReference"/>
        </w:rPr>
        <w:footnoteReference w:id="9"/>
      </w:r>
      <w:r>
        <w:rPr>
          <w:rFonts w:ascii="Times New Roman" w:cs="Times New Roman" w:eastAsia="Times New Roman" w:hAnsi="Times New Roman"/>
          <w:sz w:val="24"/>
          <w:szCs w:val="24"/>
        </w:rPr>
        <w:t xml:space="preserve"> Haricîler bu ilkeden hareketle radikal bir sonuca ulaştılar: Büyük günah işleyen kişi —ister siyasi bir uzlaşı kabul etmiş bir halife olsun, ister savaş meydanında karşı saflarda yer almış bir savaşçı— artık Müslüman sayılamazdı. Böyle birinin hükmü tekfirdi; yani İslam dairesinin dışına çıkarılmaydı.</w:t>
      </w:r>
      <w:r>
        <w:rPr>
          <w:rStyle w:val="FootnoteReference"/>
        </w:rPr>
        <w:footnoteReference w:id="10"/>
      </w:r>
      <w:r>
        <w:rPr>
          <w:rFonts w:ascii="Times New Roman" w:cs="Times New Roman" w:eastAsia="Times New Roman" w:hAnsi="Times New Roman"/>
          <w:sz w:val="24"/>
          <w:szCs w:val="24"/>
        </w:rPr>
        <w:t xml:space="preserve"> Bu tutum, teolojik açıdan son derece önemli bir kapıyı araladı: İman ile amel arasındaki ilişki artık tartışmaya açık bir mesele hâlini almıştı. Bir kişinin imanı, işlediği günahtan bağımsız değerlendirilebilir miydi; yoksa eylem, inancın zorunlu ve ayrılmaz bir parçası mıydı?</w:t>
      </w:r>
    </w:p>
    <w:p>
      <w:pPr>
        <w:spacing w:after="120" w:line="360"/>
        <w:ind w:firstLine="720"/>
      </w:pPr>
      <w:r>
        <w:rPr>
          <w:rFonts w:ascii="Times New Roman" w:cs="Times New Roman" w:eastAsia="Times New Roman" w:hAnsi="Times New Roman"/>
          <w:sz w:val="24"/>
          <w:szCs w:val="24"/>
        </w:rPr>
        <w:t xml:space="preserve">Haricîlerin bu keskin tutumu, karşı bir refleksi de beraberinde getirdi. Hz. Ali'nin taraftarları ile erken dönem Müslüman toplulukların bir bölümü, büyük günah işleyenleri dinden çıkmış saymak yerine onların nihai hükmünü Allah'a bırakmayı tercih etti. İrca —yani hükmü erteleme— olarak bilinen bu eğilim, daha sonra Mürcie adını alacak bir çizginin ilk tohumlarını oluşturdu.</w:t>
      </w:r>
      <w:r>
        <w:rPr>
          <w:rStyle w:val="FootnoteReference"/>
        </w:rPr>
        <w:footnoteReference w:id="11"/>
      </w:r>
      <w:r>
        <w:rPr>
          <w:rFonts w:ascii="Times New Roman" w:cs="Times New Roman" w:eastAsia="Times New Roman" w:hAnsi="Times New Roman"/>
          <w:sz w:val="24"/>
          <w:szCs w:val="24"/>
        </w:rPr>
        <w:t xml:space="preserve"> Siyasi kriz, böylece tam anlamıyla teolojik bir soruya tercüme olmuştu: </w:t>
      </w:r>
      <w:r>
        <w:rPr>
          <w:rFonts w:ascii="Times New Roman" w:cs="Times New Roman" w:eastAsia="Times New Roman" w:hAnsi="Times New Roman"/>
          <w:i/>
          <w:iCs/>
          <w:sz w:val="24"/>
          <w:szCs w:val="24"/>
        </w:rPr>
        <w:t xml:space="preserve">Büyük günah işleyen Müslüman'ın ahiretteki durumu ne olacaktır?</w:t>
      </w:r>
    </w:p>
    <w:p>
      <w:pPr>
        <w:spacing w:after="120" w:line="360"/>
        <w:ind w:firstLine="720"/>
      </w:pPr>
      <w:r>
        <w:rPr>
          <w:rFonts w:ascii="Times New Roman" w:cs="Times New Roman" w:eastAsia="Times New Roman" w:hAnsi="Times New Roman"/>
          <w:sz w:val="24"/>
          <w:szCs w:val="24"/>
        </w:rPr>
        <w:t xml:space="preserve">Bu sorunun doğuşu, kelam ilminin gerçek başlangıç noktasını işaretler. Artık yalnızca siyasi bir taraf seçmek gerekmiyordu; imanın mahiyeti, sınırları ve günahın onunla ilişkisi üzerine sistematik biçimde düşünülmesi zorunlu hâle geldi. Kılıçlar sustuğunda bile tartışma bitmedi —aksine kelam kürsülerine, mescid köşelerine ve sonraki nesillerin yoğun entelektüel çalışmalarına taşındı.</w:t>
      </w:r>
    </w:p>
    <w:p>
      <w:pPr>
        <w:spacing w:after="120" w:line="360"/>
        <w:ind w:firstLine="720"/>
      </w:pPr>
      <w:r>
        <w:rPr>
          <w:rFonts w:ascii="Times New Roman" w:cs="Times New Roman" w:eastAsia="Times New Roman" w:hAnsi="Times New Roman"/>
          <w:sz w:val="24"/>
          <w:szCs w:val="24"/>
        </w:rPr>
        <w:t xml:space="preserve">Bu ilk bölüm, kelamın konusunu ve amacını belirleyen teorik çerçeveyi ortaya koyduktan sonra, bu çerçevenin gerçekte nasıl bir tarihsel zemin üzerinde şekillendiğini göstermiştir: Siyasi kriz, teolojik soruların doğum odası oldu; Haricîlerin tekfir anlayışı ise bu soruları kaçınılmaz kılan fitili ateşledi. İman, amel, büyük günah ve topluluktan dışlanma meseleleri, kelam geleneğinin ilk ve en belirleyici gündem maddelerini oluşturdu. Bir sonraki bölümde, tam da bu sorulara sistematik yanıtlar üretme iddiasıyla tarih sahnesine çıkan Mutezile ekolünün doğuşu ve onu tanımlayan beş temel ilke ele alınacaktır.</w:t>
      </w:r>
    </w:p>
    <w:p>
      <w:r>
        <w:br w:type="page"/>
      </w:r>
    </w:p>
    <w:p>
      <w:pPr>
        <w:pStyle w:val="Heading1"/>
        <w:spacing w:after="300"/>
      </w:pPr>
      <w:r>
        <w:rPr>
          <w:rFonts w:ascii="Times New Roman" w:cs="Times New Roman" w:eastAsia="Times New Roman" w:hAnsi="Times New Roman"/>
          <w:b/>
          <w:bCs/>
          <w:color w:val="000000"/>
          <w:sz w:val="32"/>
          <w:szCs w:val="32"/>
        </w:rPr>
        <w:t xml:space="preserve">2. Bölüm: İlk Ekoller: Mutezile ve Rakipleri</w:t>
      </w:r>
    </w:p>
    <w:p>
      <w:pPr>
        <w:pStyle w:val="Heading2"/>
        <w:spacing w:after="200" w:before="200"/>
      </w:pPr>
      <w:r>
        <w:rPr>
          <w:rFonts w:ascii="Times New Roman" w:cs="Times New Roman" w:eastAsia="Times New Roman" w:hAnsi="Times New Roman"/>
          <w:b/>
          <w:bCs/>
          <w:color w:val="000000"/>
          <w:sz w:val="28"/>
          <w:szCs w:val="28"/>
        </w:rPr>
        <w:t xml:space="preserve">Mutezile: Aklın Öncüleri</w:t>
      </w:r>
    </w:p>
    <w:p>
      <w:pPr>
        <w:pStyle w:val="Heading3"/>
        <w:spacing w:after="100" w:before="150"/>
      </w:pPr>
      <w:r>
        <w:rPr>
          <w:rFonts w:ascii="Times New Roman" w:cs="Times New Roman" w:eastAsia="Times New Roman" w:hAnsi="Times New Roman"/>
          <w:b/>
          <w:bCs/>
          <w:color w:val="000000"/>
          <w:sz w:val="26"/>
          <w:szCs w:val="26"/>
        </w:rPr>
        <w:t xml:space="preserve">Mutezile'nin Doğuşu ve Beş Esası</w:t>
      </w:r>
    </w:p>
    <w:p>
      <w:pPr>
        <w:spacing w:after="120" w:line="360"/>
        <w:ind w:firstLine="720"/>
      </w:pPr>
      <w:r>
        <w:rPr>
          <w:rFonts w:ascii="Times New Roman" w:cs="Times New Roman" w:eastAsia="Times New Roman" w:hAnsi="Times New Roman"/>
          <w:sz w:val="24"/>
          <w:szCs w:val="24"/>
        </w:rPr>
        <w:t xml:space="preserve">İslam düşünce tarihinin ilk iki yüzyılı, siyasi çalkantıların kaçınılmaz biçimde teolojik sorulara dönüştüğü bir dönüşüm sürecine sahne olmuştur. Birinci bölümde incelenen siyasi krizler —hilafet tartışmaları, Haricî ve Mürcie gibi erken fraksiyonların büyük günah işleyen müminin statüsüne dair birbirinden keskin biçimde ayrışan tutumları— kelam ilminin doğuşunu fiilen zorunlu kılmıştır. Bu ikinci bölüm, söz konusu zorunluluktan neşet eden ilk sistematik teoloji ekollerini —başta Mutezile olmak üzere rakiplerini ve onların entelektüel mirasını— ele almaktadır. Amaç yalnızca tarihi kaydetmek değil; İslam aklının nasıl oluştuğunu, hangi sorular etrafında kristalleştiğini ve bu sorulara verilen yanıtların İslam medeniyetinin entelektüel dokusunu nasıl şekillendirdiğini anlamaktır.</w:t>
      </w:r>
    </w:p>
    <w:p>
      <w:pPr>
        <w:spacing w:after="120" w:line="360"/>
        <w:ind w:firstLine="720"/>
      </w:pPr>
      <w:r>
        <w:rPr>
          <w:rFonts w:ascii="Times New Roman" w:cs="Times New Roman" w:eastAsia="Times New Roman" w:hAnsi="Times New Roman"/>
          <w:sz w:val="24"/>
          <w:szCs w:val="24"/>
        </w:rPr>
        <w:t xml:space="preserve">Bu bağlamda sahnede ilk görünen büyük ekol Mutezile'dir. Mutezilî düşünce, yalnızca teolojik bir okul olmakla kalmayıp İslam tarihinde aklın dinî bilginin kurucu unsuru olarak öne çıkarıldığı ilk tutarlı girişimi temsil eder. Ekolün beş temel ilkesi, bu girişimin hem felsefi pusulasını hem de pratik siyasi programını oluşturmuştur.</w:t>
      </w:r>
    </w:p>
    <w:p>
      <w:pPr>
        <w:spacing w:after="120" w:line="360"/>
        <w:ind w:firstLine="720"/>
      </w:pPr>
      <w:r>
        <w:rPr>
          <w:rFonts w:ascii="Times New Roman" w:cs="Times New Roman" w:eastAsia="Times New Roman" w:hAnsi="Times New Roman"/>
          <w:sz w:val="24"/>
          <w:szCs w:val="24"/>
        </w:rPr>
        <w:t xml:space="preserve">Mutezile'nin kuruluşu geleneksel olarak Vasıl b. Ata'ya (ö. 131/748) atfedilir. Rivayete göre Vasıl, hocası Hasan el-Basrî'nin dersini terk ederek —ya da daha doğru bir ifadeyle, büyük günah meselesinde ondan ayrılarak— kendi çevresini oluşturmuştur; bu ayrılmadan dolayı gruba "itizal edenler," yani uzaklaşanlar anlamında Mutezile adı verilmiştir. Vasıl'ın temel katkısı, büyük günah işleyen müminin ne tam anlamıyla mümin ne de kâfir sayılabileceğini savunmasıdır; bu ara konum, el-menzile beyne'l-menzileteyn, yani "iki konum arasındaki konum" ilkesi olarak ekolün beş esasından birini teşkil edecektir. Söz konusu görüş, dönemin siyasi atmosferinde yalnızca teolojik bir tercih değil, Haricîlerin tekfirci şiddetine ve Mürcie'nin ahlaki ilgisizliğine karşı dengeli bir tutum alma çabasıydı.</w:t>
      </w:r>
      <w:r>
        <w:rPr>
          <w:rStyle w:val="FootnoteReference"/>
        </w:rPr>
        <w:footnoteReference w:id="12"/>
      </w:r>
    </w:p>
    <w:p>
      <w:pPr>
        <w:spacing w:after="120" w:line="360"/>
        <w:ind w:firstLine="720"/>
      </w:pPr>
      <w:r>
        <w:rPr>
          <w:rFonts w:ascii="Times New Roman" w:cs="Times New Roman" w:eastAsia="Times New Roman" w:hAnsi="Times New Roman"/>
          <w:sz w:val="24"/>
          <w:szCs w:val="24"/>
        </w:rPr>
        <w:t xml:space="preserve">Mutezile'nin beş ilkesi —usûl-i hamse— ekolün entelektüel kimliğinin çekirdeğini oluşturur ve birbirini tamamlayan bir bütün olarak anlaşılmalarını gerektirir. Bunların ilki ve en temel olanı tevhiddir; bu kavram Mutezile'de yalnızca Allah'ın birliğini ilan etmekle kalmaz, O'nu her türlü beşerî nitelikten tenzih etmeyi de kapsar. Mutezilîlere göre Allah'a güç, irade veya ilim gibi sıfatlar atfetmek, bu sıfatların ezelî ve bağımsız varlıklar olduğu anlamına gelir; bu ise birden fazla ezelî varlık kabul etmek demektir ve tevhide aykırıdır. Sıfatlar meselesindeki bu radikal tutum, onları dönemin diğer teolojik akımlarından keskin biçimde ayırır.</w:t>
      </w:r>
      <w:r>
        <w:rPr>
          <w:rStyle w:val="FootnoteReference"/>
        </w:rPr>
        <w:footnoteReference w:id="13"/>
      </w:r>
    </w:p>
    <w:p>
      <w:pPr>
        <w:spacing w:after="120" w:line="360"/>
        <w:ind w:firstLine="720"/>
      </w:pPr>
      <w:r>
        <w:rPr>
          <w:rFonts w:ascii="Times New Roman" w:cs="Times New Roman" w:eastAsia="Times New Roman" w:hAnsi="Times New Roman"/>
          <w:sz w:val="24"/>
          <w:szCs w:val="24"/>
        </w:rPr>
        <w:t xml:space="preserve">İkinci ilke olan adl, yani ilahî adalet, Mutezile'nin ahlak anlayışının temelidir. Bu ilkeye göre Allah mutlak anlamda adildir ve kul için mümkün olmayan, hatta zulüm teşkil edecek bir şeyi yaratmaz. Buradan çıkan önemli sonuç şudur: insan, kendi eylemlerinin gerçek failidir. Şayet Allah insanı bir fiili yapmak zorunda bırakır ve sonra bu fiil nedeniyle onu cezalandırırsa, bu açık bir haksızlık olur; dolayısıyla insan özgür iradeye sahip olmak zorundadır. Bu argüman, Mutezile'yi kader meselesinde Cebriyye'nin karşı kutbuna yerleştirir ve İslam düşüncesindeki özgür irade tartışmasının en erken sistematik ifadelerinden birini sunar.</w:t>
      </w:r>
      <w:r>
        <w:rPr>
          <w:rStyle w:val="FootnoteReference"/>
        </w:rPr>
        <w:footnoteReference w:id="14"/>
      </w:r>
    </w:p>
    <w:p>
      <w:pPr>
        <w:spacing w:after="120" w:line="360"/>
        <w:ind w:firstLine="720"/>
      </w:pPr>
      <w:r>
        <w:rPr>
          <w:rFonts w:ascii="Times New Roman" w:cs="Times New Roman" w:eastAsia="Times New Roman" w:hAnsi="Times New Roman"/>
          <w:sz w:val="24"/>
          <w:szCs w:val="24"/>
        </w:rPr>
        <w:t xml:space="preserve">Üçüncü ilke olan va'd ve vaîd —yani ilahî söz ve tehdit— adl ilkesinin mantıksal sonucudur. Allah, iyilik yapana mükâfat vaat etmiş, kötülük yapana azap tehdit etmiştir; bu sözün aksine davranmak ilahî tutarsızlık olur. Dördüncü ilke, yukarıda değinilen el-menzile beyne'l-menzileteyn'dir: büyük günah işleyen kimse fasık olarak adlandırılır; ne mümin ne kâfirdir. Bu ilke, Mutezile'nin erken İslam siyasetinin en ateşli tartışmalarına müdahil olduğunu açıkça gösterir. Beşinci ve son ilke olan emir bi'l-maruf ve nehy ani'l-münker —iyiliği emretmek ve kötülükten alıkoymak— ise teolojik sistemi toplumsal bir sorumluluk etiğiyle taçlandırır; bu ilke, Mutezile'nin bilgiyle eylemi birbirinden koparmayan yapısını yansıtır.</w:t>
      </w:r>
      <w:r>
        <w:rPr>
          <w:rStyle w:val="FootnoteReference"/>
        </w:rPr>
        <w:footnoteReference w:id="15"/>
      </w:r>
    </w:p>
    <w:p>
      <w:pPr>
        <w:spacing w:after="120" w:line="360"/>
        <w:ind w:firstLine="720"/>
      </w:pPr>
      <w:r>
        <w:rPr>
          <w:rFonts w:ascii="Times New Roman" w:cs="Times New Roman" w:eastAsia="Times New Roman" w:hAnsi="Times New Roman"/>
          <w:sz w:val="24"/>
          <w:szCs w:val="24"/>
        </w:rPr>
        <w:t xml:space="preserve">Bu beş ilkeye egemen olan genel ruh, aklın —naklin tamamlayıcısı olarak değil, onunla eşdeğer ve hatta zaman zaman öncelikli bir kaynak olarak— teolojik hükümlerin belirlenmesinde belirleyici rol oynayabileceği inancıdır. Mutezile için akıl, Allah'ın insanlığa bahşettiği evrensel bir yetidir ve bu yetin kullanılması hem epistemolojik hem de ahlaki bir zorunluluktur. Teoloji yapmak demek, Kur'an ve Sünnet'i akılsız bir itaatle tekrarlamak değil; bu kaynakların anlamını tutarlı, çelişkisiz bir dizge içinde kavramak demektir. İşte bu kavrayış, Mutezile'yi İslam düşüncesinin hem en heyecan verici hem de en tartışmalı koluna dönüştürecektir.</w:t>
      </w:r>
    </w:p>
    <w:p>
      <w:pPr>
        <w:spacing w:after="120" w:line="360"/>
        <w:ind w:firstLine="720"/>
      </w:pPr>
      <w:r>
        <w:rPr>
          <w:rFonts w:ascii="Times New Roman" w:cs="Times New Roman" w:eastAsia="Times New Roman" w:hAnsi="Times New Roman"/>
          <w:sz w:val="24"/>
          <w:szCs w:val="24"/>
        </w:rPr>
        <w:t xml:space="preserve">Nitekim bu tartışmalılık yalnızca entelektüel arenada kalmayacak; sekizinci ve dokuzuncu yüzyıllarda devlet müdahalesiyle birlikte açıkça siyasi bir boyut kazanacaktır. Mihne dönemi olarak bilinen bu süreç, Mutezile'nin resmî iktidarla kurduğu tehlikeli ittifakın ve bu ittifakın doğurduğu kırılganlıkların en çarpıcı ifadesini oluşturmaktadır.</w:t>
      </w:r>
    </w:p>
    <w:p>
      <w:pPr>
        <w:pStyle w:val="Heading3"/>
        <w:spacing w:after="100" w:before="150"/>
      </w:pPr>
      <w:r>
        <w:rPr>
          <w:rFonts w:ascii="Times New Roman" w:cs="Times New Roman" w:eastAsia="Times New Roman" w:hAnsi="Times New Roman"/>
          <w:b/>
          <w:bCs/>
          <w:color w:val="000000"/>
          <w:sz w:val="26"/>
          <w:szCs w:val="26"/>
        </w:rPr>
        <w:t xml:space="preserve">Mihne: Devlet Destekli Kelam</w:t>
      </w:r>
    </w:p>
    <w:p>
      <w:pPr>
        <w:spacing w:after="120" w:line="360"/>
        <w:ind w:firstLine="720"/>
      </w:pPr>
      <w:r>
        <w:rPr>
          <w:rFonts w:ascii="Times New Roman" w:cs="Times New Roman" w:eastAsia="Times New Roman" w:hAnsi="Times New Roman"/>
          <w:sz w:val="24"/>
          <w:szCs w:val="24"/>
        </w:rPr>
        <w:t xml:space="preserve">Mutezile'nin entelektüel programı, yalnızca medreselerin ve münazara meclislerinin sınırları içinde kalmadı; sekizinci yüzyılın sonlarından itibaren Abbasi sarayının koridorlarına taşınarak giderek daha siyasi bir boyut kazandı. Bu dönüşümün doruk noktası, halife Me'mun'un (813–833) iktidarı döneminde yaşanan ve İslam düşünce tarihinin en çarpıcı siyasi-teolojik çatışmalarından birini oluşturan Mihne sürecidir. </w:t>
      </w:r>
      <w:r>
        <w:rPr>
          <w:rFonts w:ascii="Times New Roman" w:cs="Times New Roman" w:eastAsia="Times New Roman" w:hAnsi="Times New Roman"/>
          <w:i/>
          <w:iCs/>
          <w:sz w:val="24"/>
          <w:szCs w:val="24"/>
        </w:rPr>
        <w:t xml:space="preserve">Mihne</w:t>
      </w:r>
      <w:r>
        <w:rPr>
          <w:rFonts w:ascii="Times New Roman" w:cs="Times New Roman" w:eastAsia="Times New Roman" w:hAnsi="Times New Roman"/>
          <w:sz w:val="24"/>
          <w:szCs w:val="24"/>
        </w:rPr>
        <w:t xml:space="preserve"> — sözlük anlamıyla "sınav" ya da "bela" — kelimesi, 833 yılında Me'mun'un Kur'an'ın yaratılmışlığı (</w:t>
      </w:r>
      <w:r>
        <w:rPr>
          <w:rFonts w:ascii="Times New Roman" w:cs="Times New Roman" w:eastAsia="Times New Roman" w:hAnsi="Times New Roman"/>
          <w:i/>
          <w:iCs/>
          <w:sz w:val="24"/>
          <w:szCs w:val="24"/>
        </w:rPr>
        <w:t xml:space="preserve">halk al-Qur'ān</w:t>
      </w:r>
      <w:r>
        <w:rPr>
          <w:rFonts w:ascii="Times New Roman" w:cs="Times New Roman" w:eastAsia="Times New Roman" w:hAnsi="Times New Roman"/>
          <w:sz w:val="24"/>
          <w:szCs w:val="24"/>
        </w:rPr>
        <w:t xml:space="preserve">) doktrinini resmi devlet ideolojisi ilan etmesiyle başlayan ve yaklaşık on beş yıl süren baskı ve sorgulamalar dönemini ifade eder.</w:t>
      </w:r>
      <w:r>
        <w:rPr>
          <w:rStyle w:val="FootnoteReference"/>
        </w:rPr>
        <w:footnoteReference w:id="16"/>
      </w:r>
    </w:p>
    <w:p>
      <w:pPr>
        <w:spacing w:after="120" w:line="360"/>
        <w:ind w:firstLine="720"/>
      </w:pPr>
      <w:r>
        <w:rPr>
          <w:rFonts w:ascii="Times New Roman" w:cs="Times New Roman" w:eastAsia="Times New Roman" w:hAnsi="Times New Roman"/>
          <w:sz w:val="24"/>
          <w:szCs w:val="24"/>
        </w:rPr>
        <w:t xml:space="preserve">Bu meselenin siyasi arka planını kavramak için dönemin iktidar dinamiklerine bakmak gerekmektedir. Me'mun, hilafet mücadelesinde kardeşi Emin'e karşı elde ettiği zaferin ardından meşruiyetini pekiştirmeye çalışan bir hükümdar konumundaydı. Mutezile'nin rasyonalist kelamını benimsemesi, kısmen felsefi ikna ile kısmen de siyasi hesapla şekillenmiş bir tercihi yansıtıyordu: Kur'an'ın ezeli ve yaratılmamış olduğunu savunan gelenekçi ulemaya karşı, halifenin ilahiyat konularında yorum yetkisine sahip olduğunu ima eden bir doktrin, sarayın merkezi otoritesini güçlendiriyordu.</w:t>
      </w:r>
      <w:r>
        <w:rPr>
          <w:rStyle w:val="FootnoteReference"/>
        </w:rPr>
        <w:footnoteReference w:id="17"/>
      </w:r>
      <w:r>
        <w:rPr>
          <w:rFonts w:ascii="Times New Roman" w:cs="Times New Roman" w:eastAsia="Times New Roman" w:hAnsi="Times New Roman"/>
          <w:sz w:val="24"/>
          <w:szCs w:val="24"/>
        </w:rPr>
        <w:t xml:space="preserve"> Başka bir deyişle, Kur'an'ın yaratılmışlığı tezi yalnızca soyut bir kelamî mesele değil, aynı zamanda kimin yorumlama iktidarına sahip olduğu sorusunun siyasi bir yanıtıydı.</w:t>
      </w:r>
    </w:p>
    <w:p>
      <w:pPr>
        <w:spacing w:after="120" w:line="360"/>
        <w:ind w:firstLine="720"/>
      </w:pPr>
      <w:r>
        <w:rPr>
          <w:rFonts w:ascii="Times New Roman" w:cs="Times New Roman" w:eastAsia="Times New Roman" w:hAnsi="Times New Roman"/>
          <w:sz w:val="24"/>
          <w:szCs w:val="24"/>
        </w:rPr>
        <w:t xml:space="preserve">Kur'an'ın yaratılmışlığı tartışması, Mutezile kelamının beş ilkesinden biri olan tevhid anlayışından doğrudan beslenmekteydi. Mutezile âlimleri, kadim ve ezeli olan yalnızca Allah'tır önermesinden hareketle Kur'an'ın —lafız ve anlam bakımından— sonradan yaratılmış olduğunu savunuyordu; aksi halde Tanrı'nın yanı sıra ezeli bir varlığın kabulü tevhide aykırı olurdu.</w:t>
      </w:r>
      <w:r>
        <w:rPr>
          <w:rStyle w:val="FootnoteReference"/>
        </w:rPr>
        <w:footnoteReference w:id="18"/>
      </w:r>
      <w:r>
        <w:rPr>
          <w:rFonts w:ascii="Times New Roman" w:cs="Times New Roman" w:eastAsia="Times New Roman" w:hAnsi="Times New Roman"/>
          <w:sz w:val="24"/>
          <w:szCs w:val="24"/>
        </w:rPr>
        <w:t xml:space="preserve"> Gelenekçi ulema ise bu tezi, Kur'an'ın kutsal statüsünü zedelediği ve onun Allah'ın doğrudan sözü olduğu inancını tahrip ettiği gerekçesiyle reddediyordu. İki tarafın da kendi içinde tutarlı argümanları bulunmakla birlikte Me'mun, bu teolojik anlaşmazlığı bir siyasi sadakat sınavına dönüştürerek kadıları ve alimleri resmen sorgulamaya başladı.</w:t>
      </w:r>
      <w:r>
        <w:rPr>
          <w:rStyle w:val="FootnoteReference"/>
        </w:rPr>
        <w:footnoteReference w:id="19"/>
      </w:r>
    </w:p>
    <w:p>
      <w:pPr>
        <w:spacing w:after="120" w:line="360"/>
        <w:ind w:firstLine="720"/>
      </w:pPr>
      <w:r>
        <w:rPr>
          <w:rFonts w:ascii="Times New Roman" w:cs="Times New Roman" w:eastAsia="Times New Roman" w:hAnsi="Times New Roman"/>
          <w:sz w:val="24"/>
          <w:szCs w:val="24"/>
        </w:rPr>
        <w:t xml:space="preserve">Bu baskının en önemli simgesi, dönemin seçkin Hanbeli alimi Ahmed b. Hanbel'in (780–855) gösterdiği direniştir. Me'mun'un kurduğu sorgu mahkemelerine çekilen Ahmed b. Hanbel, Kur'an'ın yaratılmışlığını kabul etmeyi açıkça reddetti; ne halifenin siyasi baskısı ne de hapis ve dayak cezası onu bu tutumundan vazgeçirebildi.</w:t>
      </w:r>
      <w:r>
        <w:rPr>
          <w:rStyle w:val="FootnoteReference"/>
        </w:rPr>
        <w:footnoteReference w:id="20"/>
      </w:r>
      <w:r>
        <w:rPr>
          <w:rFonts w:ascii="Times New Roman" w:cs="Times New Roman" w:eastAsia="Times New Roman" w:hAnsi="Times New Roman"/>
          <w:sz w:val="24"/>
          <w:szCs w:val="24"/>
        </w:rPr>
        <w:t xml:space="preserve"> Ahmed b. Hanbel için mesele, kelami bir teorinin doğruluğundan çok nassın yorumsuz aktarılmasına duyulan sadakatti; o, Kur'an ve hadis metinlerinde açıkça yer almayan spekülâtif çıkarsamalara itibar etmemeyi ilke edinen bir metodolojiye, yani </w:t>
      </w:r>
      <w:r>
        <w:rPr>
          <w:rFonts w:ascii="Times New Roman" w:cs="Times New Roman" w:eastAsia="Times New Roman" w:hAnsi="Times New Roman"/>
          <w:i/>
          <w:iCs/>
          <w:sz w:val="24"/>
          <w:szCs w:val="24"/>
        </w:rPr>
        <w:t xml:space="preserve">selefî</w:t>
      </w:r>
      <w:r>
        <w:rPr>
          <w:rFonts w:ascii="Times New Roman" w:cs="Times New Roman" w:eastAsia="Times New Roman" w:hAnsi="Times New Roman"/>
          <w:sz w:val="24"/>
          <w:szCs w:val="24"/>
        </w:rPr>
        <w:t xml:space="preserve"> yaklaşıma yaslanıyordu.</w:t>
      </w:r>
      <w:r>
        <w:rPr>
          <w:rStyle w:val="FootnoteReference"/>
        </w:rPr>
        <w:footnoteReference w:id="21"/>
      </w:r>
      <w:r>
        <w:rPr>
          <w:rFonts w:ascii="Times New Roman" w:cs="Times New Roman" w:eastAsia="Times New Roman" w:hAnsi="Times New Roman"/>
          <w:sz w:val="24"/>
          <w:szCs w:val="24"/>
        </w:rPr>
        <w:t xml:space="preserve"> Halkın gözünde bu direniş, siyasi otoriteye karşı dini özgürlüğün müdafaasına dönüştü; Ahmed b. Hanbel kısa sürede halk nezdinde bir ilim şehidi figürine büründü.</w:t>
      </w:r>
    </w:p>
    <w:p>
      <w:pPr>
        <w:spacing w:after="120" w:line="360"/>
        <w:ind w:firstLine="720"/>
      </w:pPr>
      <w:r>
        <w:rPr>
          <w:rFonts w:ascii="Times New Roman" w:cs="Times New Roman" w:eastAsia="Times New Roman" w:hAnsi="Times New Roman"/>
          <w:sz w:val="24"/>
          <w:szCs w:val="24"/>
        </w:rPr>
        <w:t xml:space="preserve">Mihne, Me'mun'un vefatından sonra Mu'tasım ve Vasik dönemlerinde sürdürüldüyse de nihayet halife Mütevekkil'in 848 yılında Mutezili doktrini resmi konumdan uzaklaştırmasıyla fiilen sona erdi.</w:t>
      </w:r>
      <w:r>
        <w:rPr>
          <w:rStyle w:val="FootnoteReference"/>
        </w:rPr>
        <w:footnoteReference w:id="22"/>
      </w:r>
      <w:r>
        <w:rPr>
          <w:rFonts w:ascii="Times New Roman" w:cs="Times New Roman" w:eastAsia="Times New Roman" w:hAnsi="Times New Roman"/>
          <w:sz w:val="24"/>
          <w:szCs w:val="24"/>
        </w:rPr>
        <w:t xml:space="preserve"> Bu sürecin mirası son derece çift değerliklidir: Bir yanda Mutezile, devlet desteğiyle kısa süreliğine rakipsiz bir entelektüel otorite kazanmış; öte yanda bu desteğin getirdiği zorbalık, onun itibarsızlaşmasına ve gelenekçi muhalefetin kitlelerce benimsenmesine zemin hazırlamıştır. Böylece Mihne, aklı dini düşüncenin merkezine yerleştirmeyi amaçlayan Mutezili projenin hem zirvesi hem de başlangıcının sonu oldu.</w:t>
      </w:r>
    </w:p>
    <w:p>
      <w:pPr>
        <w:spacing w:after="120" w:line="360"/>
        <w:ind w:firstLine="720"/>
      </w:pPr>
      <w:r>
        <w:rPr>
          <w:rFonts w:ascii="Times New Roman" w:cs="Times New Roman" w:eastAsia="Times New Roman" w:hAnsi="Times New Roman"/>
          <w:sz w:val="24"/>
          <w:szCs w:val="24"/>
        </w:rPr>
        <w:t xml:space="preserve">Mutezile'nin bu dramatik siyasi serüveni, İslam düşüncesindeki farklı akımların farklı çözümler üretmesini kaçınılmaz kıldı; iman, topluluk ve siyasi otorite gibi meselelerde çok daha uzlaşmacı bir tutum benimseyecek olan Mürcie'nin düşünce dünyası ise bu gergin atmosferde anlam kazanmaktadır.</w:t>
      </w:r>
    </w:p>
    <w:p>
      <w:pPr>
        <w:pStyle w:val="Heading2"/>
        <w:spacing w:after="200" w:before="200"/>
      </w:pPr>
      <w:r>
        <w:rPr>
          <w:rFonts w:ascii="Times New Roman" w:cs="Times New Roman" w:eastAsia="Times New Roman" w:hAnsi="Times New Roman"/>
          <w:b/>
          <w:bCs/>
          <w:color w:val="000000"/>
          <w:sz w:val="28"/>
          <w:szCs w:val="28"/>
        </w:rPr>
        <w:t xml:space="preserve">Mürcie ve Cebriyye: Öte Sesler</w:t>
      </w:r>
    </w:p>
    <w:p>
      <w:pPr>
        <w:pStyle w:val="Heading3"/>
        <w:spacing w:after="100" w:before="150"/>
      </w:pPr>
      <w:r>
        <w:rPr>
          <w:rFonts w:ascii="Times New Roman" w:cs="Times New Roman" w:eastAsia="Times New Roman" w:hAnsi="Times New Roman"/>
          <w:b/>
          <w:bCs/>
          <w:color w:val="000000"/>
          <w:sz w:val="26"/>
          <w:szCs w:val="26"/>
        </w:rPr>
        <w:t xml:space="preserve">İman ve Erteleme: Mürcie</w:t>
      </w:r>
    </w:p>
    <w:p>
      <w:pPr>
        <w:spacing w:after="120" w:line="360"/>
        <w:ind w:firstLine="720"/>
      </w:pPr>
      <w:r>
        <w:rPr>
          <w:rFonts w:ascii="Times New Roman" w:cs="Times New Roman" w:eastAsia="Times New Roman" w:hAnsi="Times New Roman"/>
          <w:sz w:val="24"/>
          <w:szCs w:val="24"/>
        </w:rPr>
        <w:t xml:space="preserve">Mihne sürecinin ortaya koyduğu üzere, kelam tartışmaları yalnızca soyut teolojik meselelerle sınırlı kalmayıp iktidar, meşruiyet ve toplumsal aidiyet sorunlarıyla derin biçimde iç içe geçmekteydi. Bununla birlikte, söz konusu gerilimler yalnızca devlet ile âlim arasında değil, imana ilişkin temel sorular etrafında da şekilleniyordu. İşte bu bölüm, erken İslam düşüncesinin iki "öte sesi" olan Mürcie ve Cebriyye'yi, bu gerilimler bağlamında incelemeye çalışacaktır.</w:t>
      </w:r>
    </w:p>
    <w:p>
      <w:pPr>
        <w:spacing w:after="120" w:line="360"/>
        <w:ind w:firstLine="720"/>
      </w:pPr>
      <w:r>
        <w:rPr>
          <w:rFonts w:ascii="Times New Roman" w:cs="Times New Roman" w:eastAsia="Times New Roman" w:hAnsi="Times New Roman"/>
          <w:sz w:val="24"/>
          <w:szCs w:val="24"/>
        </w:rPr>
        <w:t xml:space="preserve">Mürcie, İslam kelam tarihinde iman tanımı ve siyasi uzlaşmacı işlevi bakımından özgün bir konuma sahip olan erken bir ekolü temsil etmektedir. "İrca" (إرجاء) sözcüğünden türetilen bu isim, "erteleme" ya da "tehir etme" anlamını taşımakta olup ekolün temel tutumunu kavramsal düzeyde özetler: büyük günah işleyen Müslümanların uhrevî akıbetine dair nihai hükmü Allah'a bırakmak ve bu meseledeki kesin yargıyı dünyevî alandan çekmek. </w:t>
      </w:r>
      <w:r>
        <w:rPr>
          <w:rStyle w:val="FootnoteReference"/>
        </w:rPr>
        <w:footnoteReference w:id="23"/>
      </w:r>
      <w:r>
        <w:rPr>
          <w:rFonts w:ascii="Times New Roman" w:cs="Times New Roman" w:eastAsia="Times New Roman" w:hAnsi="Times New Roman"/>
          <w:sz w:val="24"/>
          <w:szCs w:val="24"/>
        </w:rPr>
        <w:t xml:space="preserve"> Bu tutum, özellikle Haricîlerin keskin ve dışlayıcı iman anlayışıyla karşılaştırıldığında belirgin biçimde anlam kazanmaktadır. Haricîler, ameli imanın ayrılmaz bir parçası saydıklarından büyük günah işleyen kişiyi doğrudan tekfir ederek topluluktan dışlıyorlardı; bu yaklaşım, birinci ve ikinci fitne dönemlerinin kanlı siyasi çatışmalarını dinî meşruiyet zemininde derinleştiren bir işlev görmüştü. </w:t>
      </w:r>
      <w:r>
        <w:rPr>
          <w:rStyle w:val="FootnoteReference"/>
        </w:rPr>
        <w:footnoteReference w:id="24"/>
      </w:r>
      <w:r>
        <w:rPr>
          <w:rFonts w:ascii="Times New Roman" w:cs="Times New Roman" w:eastAsia="Times New Roman" w:hAnsi="Times New Roman"/>
          <w:sz w:val="24"/>
          <w:szCs w:val="24"/>
        </w:rPr>
        <w:t xml:space="preserve"> Mürcie ise bu bağlamda tam anlamıyla karşı bir tutum geliştirmiş; ameli imandan ontolojik olarak ayırarak imanı, kalpteki tasdik ve dil ile ikrar şeklinde tanımlamış, böylece imanın özünü eylemden bağımsız bir iç hal olarak konumlandırmıştır. </w:t>
      </w:r>
      <w:r>
        <w:rPr>
          <w:rStyle w:val="FootnoteReference"/>
        </w:rPr>
        <w:footnoteReference w:id="25"/>
      </w:r>
    </w:p>
    <w:p>
      <w:pPr>
        <w:spacing w:after="120" w:line="360"/>
        <w:ind w:firstLine="720"/>
      </w:pPr>
      <w:r>
        <w:rPr>
          <w:rFonts w:ascii="Times New Roman" w:cs="Times New Roman" w:eastAsia="Times New Roman" w:hAnsi="Times New Roman"/>
          <w:sz w:val="24"/>
          <w:szCs w:val="24"/>
        </w:rPr>
        <w:t xml:space="preserve">Bu teolojik ayrımın arka planında güçlü bir siyasi mantık yatmaktadır. Fitne dönemlerinde Müslümanların birbirini tekfir etmesine ve bu tekfiri silahlı çatışmayı meşrulaştırmak için bir araç olarak kullanmasına karşı Mürcie, söz konusu hükmü ilahî alana havale ederek topluluk içindeki ayrışmanın teolojik maliyetini düşürmeye çalışmıştır. </w:t>
      </w:r>
      <w:r>
        <w:rPr>
          <w:rStyle w:val="FootnoteReference"/>
        </w:rPr>
        <w:footnoteReference w:id="26"/>
      </w:r>
      <w:r>
        <w:rPr>
          <w:rFonts w:ascii="Times New Roman" w:cs="Times New Roman" w:eastAsia="Times New Roman" w:hAnsi="Times New Roman"/>
          <w:sz w:val="24"/>
          <w:szCs w:val="24"/>
        </w:rPr>
        <w:t xml:space="preserve"> Böylece Emevilerin yönetimini kabul etmek ya da onlara karşı çıkmak arasındaki gerilimde bile bireyin imanı sorgulanmaz hâle geliyordu; zira amel, imanı belirleyen nihai ölçüt olmaktan çıkarılmıştı. Bu uzlaşmacı işlev, ekolün zaman zaman Emevi yönetiminin çıkarlarına hizmet ettiği şeklinde yorumlanmasına yol açmıştır; ne var ki bu değerlendirme tartışmalı olmaya devam etmektedir. </w:t>
      </w:r>
      <w:r>
        <w:rPr>
          <w:rStyle w:val="FootnoteReference"/>
        </w:rPr>
        <w:footnoteReference w:id="27"/>
      </w:r>
      <w:r>
        <w:rPr>
          <w:rFonts w:ascii="Times New Roman" w:cs="Times New Roman" w:eastAsia="Times New Roman" w:hAnsi="Times New Roman"/>
          <w:sz w:val="24"/>
          <w:szCs w:val="24"/>
        </w:rPr>
        <w:t xml:space="preserve"> Önemli bir husus olarak belirtmek gerekir ki Mürcie'nin tüm kolları Emevi yanlısı değildi; Küfe merkezli erken Mürcie figürlerinin önemli bir kısmı, siyasi uzlaşmacılıklarını Haşimî ve Ali yanlısı bir çizgide sürdürmüşlerdir. </w:t>
      </w:r>
      <w:r>
        <w:rPr>
          <w:rStyle w:val="FootnoteReference"/>
        </w:rPr>
        <w:footnoteReference w:id="28"/>
      </w:r>
    </w:p>
    <w:p>
      <w:pPr>
        <w:spacing w:after="120" w:line="360"/>
        <w:ind w:firstLine="720"/>
      </w:pPr>
      <w:r>
        <w:rPr>
          <w:rFonts w:ascii="Times New Roman" w:cs="Times New Roman" w:eastAsia="Times New Roman" w:hAnsi="Times New Roman"/>
          <w:sz w:val="24"/>
          <w:szCs w:val="24"/>
        </w:rPr>
        <w:t xml:space="preserve">Mürcie'nin Sünni kelam geleneği üzerindeki etkisi doğrudan ve kalıcı olmuştur. Özellikle Ebû Hanife, imanı "kalp ile tasdik ve dil ile ikrar" olarak tanımlayan görüşü benimseyerek Mürcie'nin teolojik mirasını sistematik bir çerçeveye oturtmuş; amelin imanı artırıp azaltmayacağı meselesinde de benzer bir çekince içinde kalmıştır. </w:t>
      </w:r>
      <w:r>
        <w:rPr>
          <w:rStyle w:val="FootnoteReference"/>
        </w:rPr>
        <w:footnoteReference w:id="29"/>
      </w:r>
      <w:r>
        <w:rPr>
          <w:rFonts w:ascii="Times New Roman" w:cs="Times New Roman" w:eastAsia="Times New Roman" w:hAnsi="Times New Roman"/>
          <w:sz w:val="24"/>
          <w:szCs w:val="24"/>
        </w:rPr>
        <w:t xml:space="preserve"> Mâtürîdî kelam geleneği de iman-amel ayrımını temel bir ilke olarak muhafaza etmiş; bu sayede büyük günah meselesi Mu'tezile'nin zorunlu cezalandırma (va'd/vaîd) doktrinine ya da Haricî tekfir anlayışına savrulmadan ele alınabilir hale gelmiştir. </w:t>
      </w:r>
      <w:r>
        <w:rPr>
          <w:rStyle w:val="FootnoteReference"/>
        </w:rPr>
        <w:footnoteReference w:id="30"/>
      </w:r>
      <w:r>
        <w:rPr>
          <w:rFonts w:ascii="Times New Roman" w:cs="Times New Roman" w:eastAsia="Times New Roman" w:hAnsi="Times New Roman"/>
          <w:sz w:val="24"/>
          <w:szCs w:val="24"/>
        </w:rPr>
        <w:t xml:space="preserve"> Bu ekol, imanın mahiyetine ilişkin tartışmanın teolojik sınırlarını belirlemek suretiyle sonraki nesillere hem soruları hem de soruları yanıtlamak için kullanılan kavramsal araçları miras bırakmıştır. Ancak imanın amel ile ilişkisi bu şekilde yeniden tanımlanırken başka bir sorun gündeme gelmeyi bekliyordu: Müslümanın eylemlerinde ne ölçüde özgür olduğu ve bu özgürlüğün kaynağının ne olduğu meselesi. Cebriyye'nin bu soruya verdiği yanıt, tam da bu noktada şekillenmeye başlamaktadır.</w:t>
      </w:r>
    </w:p>
    <w:p>
      <w:pPr>
        <w:pStyle w:val="Heading3"/>
        <w:spacing w:after="100" w:before="150"/>
      </w:pPr>
      <w:r>
        <w:rPr>
          <w:rFonts w:ascii="Times New Roman" w:cs="Times New Roman" w:eastAsia="Times New Roman" w:hAnsi="Times New Roman"/>
          <w:b/>
          <w:bCs/>
          <w:color w:val="000000"/>
          <w:sz w:val="26"/>
          <w:szCs w:val="26"/>
        </w:rPr>
        <w:t xml:space="preserve">Cebr mi, İrade mi? Cebriyye</w:t>
      </w:r>
    </w:p>
    <w:p>
      <w:pPr>
        <w:spacing w:after="120" w:line="360"/>
        <w:ind w:firstLine="720"/>
      </w:pPr>
      <w:r>
        <w:rPr>
          <w:rFonts w:ascii="Times New Roman" w:cs="Times New Roman" w:eastAsia="Times New Roman" w:hAnsi="Times New Roman"/>
          <w:sz w:val="24"/>
          <w:szCs w:val="24"/>
        </w:rPr>
        <w:t xml:space="preserve">Mürcie'nin iman meselesini askıya alarak toplumsal huzuru koruma çabasının yanı sıra, erken İslam kelamının bir diğer radikal sesi, sorunu bambaşka bir zeminde ele aldı: İnsan fiillerinin gerçek faili kimdir? Bu soruyu soran Cebriyye, cevabını da kendi içinde tutarlı bir biçimde verdi: Yalnızca Allah.</w:t>
      </w:r>
    </w:p>
    <w:p>
      <w:pPr>
        <w:spacing w:after="120" w:line="360"/>
        <w:ind w:firstLine="720"/>
      </w:pPr>
      <w:r>
        <w:rPr>
          <w:rFonts w:ascii="Times New Roman" w:cs="Times New Roman" w:eastAsia="Times New Roman" w:hAnsi="Times New Roman"/>
          <w:sz w:val="24"/>
          <w:szCs w:val="24"/>
        </w:rPr>
        <w:t xml:space="preserve">"Cebr" kavramı, sözlük anlamıyla zorlama ya da kırığı yerine koyma gibi fiziksel bir güçten türemekle birlikte, kelam literatüründe teknik bir anlam kazanmıştır: İnsanın hiçbir gerçek eylem kapasitesine sahip olmadığı, görünürdeki iradesinin ve hareketlerinin aslında ilahi kudretin doğrudan bir tecellisi olduğu görüşü. </w:t>
      </w:r>
      <w:r>
        <w:rPr>
          <w:rStyle w:val="FootnoteReference"/>
        </w:rPr>
        <w:footnoteReference w:id="31"/>
      </w:r>
      <w:r>
        <w:rPr>
          <w:rFonts w:ascii="Times New Roman" w:cs="Times New Roman" w:eastAsia="Times New Roman" w:hAnsi="Times New Roman"/>
          <w:sz w:val="24"/>
          <w:szCs w:val="24"/>
        </w:rPr>
        <w:t xml:space="preserve"> Bu anlayışa göre insan, tıpkı rüzgarın önünde savrulan bir yaprak gibi, ilahi iradenin akışında sürüklenen bir nesneye benzer; ona atfedilen "eylem" aslında bir yanılsamadan ibarettir. Cebriyye ekolünün en belirgin temsilcisi olarak tarihin kaydettiği Cehm b. Safvân (ö. 128/745), bu fikri sistematik biçimde savunmuş; insanın "yaratılmış" olmasının her türlü gerçek kudret ve iradesinin de O'na ait olmasını zorunlu kıldığını ileri sürmüştür. </w:t>
      </w:r>
      <w:r>
        <w:rPr>
          <w:rStyle w:val="FootnoteReference"/>
        </w:rPr>
        <w:footnoteReference w:id="32"/>
      </w:r>
      <w:r>
        <w:rPr>
          <w:rFonts w:ascii="Times New Roman" w:cs="Times New Roman" w:eastAsia="Times New Roman" w:hAnsi="Times New Roman"/>
          <w:sz w:val="24"/>
          <w:szCs w:val="24"/>
        </w:rPr>
        <w:t xml:space="preserve"> Cehm'e göre Allah her şeyin mutlak yaratıcısıysa, insan fiillerini bu yaratıcılığın dışında tutmak, ilahi kudrete sınır çizmek anlamına gelir; bu ise tevhid ilkesiyle bağdaşmaz.</w:t>
      </w:r>
    </w:p>
    <w:p>
      <w:pPr>
        <w:spacing w:after="120" w:line="360"/>
        <w:ind w:firstLine="720"/>
      </w:pPr>
      <w:r>
        <w:rPr>
          <w:rFonts w:ascii="Times New Roman" w:cs="Times New Roman" w:eastAsia="Times New Roman" w:hAnsi="Times New Roman"/>
          <w:sz w:val="24"/>
          <w:szCs w:val="24"/>
        </w:rPr>
        <w:t xml:space="preserve">Cebriyye'nin karşılaştığı temel itiraz, ahlaki sorumluluk meselesi etrafında şekillendi. Eğer insan eylemlerinin gerçek faili Allah ise, o zaman hesap gününde insanı yargılamanın ne anlamı kalır? Zulüm ve adalet arasındaki fark nasıl korunur? Mutezile kelamcıları başta olmak üzere pek çok düşünür bu itirazı sert bir dille dile getirdi. Onlara göre sorumluluk, özgür seçimi zorunlu olarak içerir; seçim yoksa sorumluluk da yoktur ve dini-ahlaki düzenin bütün yapısı çöker. </w:t>
      </w:r>
      <w:r>
        <w:rPr>
          <w:rStyle w:val="FootnoteReference"/>
        </w:rPr>
        <w:footnoteReference w:id="33"/>
      </w:r>
      <w:r>
        <w:rPr>
          <w:rFonts w:ascii="Times New Roman" w:cs="Times New Roman" w:eastAsia="Times New Roman" w:hAnsi="Times New Roman"/>
          <w:sz w:val="24"/>
          <w:szCs w:val="24"/>
        </w:rPr>
        <w:t xml:space="preserve"> Cebriyye ise bu itirazı şöyle geçiştirmeye çalıştı: Allah'ın yargılaması, insanın gerçek bir failliğe sahip olmasını değil, ilahi hikmetin gereklerini yerine getirmesini içerir; ibadet ve itaatin anlamı, sonuç üretmekten ziyade ilahi düzenin parçası olmaktır. Ancak bu yanıt, yargılamanın adalet boyutunu açıklamakta zorlandı ve eleştirmenleri ikna edemedi.</w:t>
      </w:r>
    </w:p>
    <w:p>
      <w:pPr>
        <w:spacing w:after="120" w:line="360"/>
        <w:ind w:firstLine="720"/>
      </w:pPr>
      <w:r>
        <w:rPr>
          <w:rFonts w:ascii="Times New Roman" w:cs="Times New Roman" w:eastAsia="Times New Roman" w:hAnsi="Times New Roman"/>
          <w:sz w:val="24"/>
          <w:szCs w:val="24"/>
        </w:rPr>
        <w:t xml:space="preserve">Kader tartışmasının derinleştiği bu zemin, İslam düşüncesinin en kalıcı gerilimlerinden birini oluşturdu. Cebriyye, ilahi mutlak egemenliği ve birliği koruma kaygısıyla hareket ediyor; Mutezile ise insan aklının ve özgür iradesinin tanınması olmadan adil bir ilah tasavvurunun mümkün olmadığını savunuyordu. </w:t>
      </w:r>
      <w:r>
        <w:rPr>
          <w:rStyle w:val="FootnoteReference"/>
        </w:rPr>
        <w:footnoteReference w:id="34"/>
      </w:r>
      <w:r>
        <w:rPr>
          <w:rFonts w:ascii="Times New Roman" w:cs="Times New Roman" w:eastAsia="Times New Roman" w:hAnsi="Times New Roman"/>
          <w:sz w:val="24"/>
          <w:szCs w:val="24"/>
        </w:rPr>
        <w:t xml:space="preserve"> Bu iki uç arasında kalan gerilim, sonraki dönemde Eş'ariyye'nin "kesb" (iktisab) teorisiyle çözülmeye çalışılacak; insan fiillerinin Allah tarafından yaratıldığı ama insanın bu fiilleri "edindiği" tezi formüle edilecektir. </w:t>
      </w:r>
      <w:r>
        <w:rPr>
          <w:rStyle w:val="FootnoteReference"/>
        </w:rPr>
        <w:footnoteReference w:id="35"/>
      </w:r>
      <w:r>
        <w:rPr>
          <w:rFonts w:ascii="Times New Roman" w:cs="Times New Roman" w:eastAsia="Times New Roman" w:hAnsi="Times New Roman"/>
          <w:sz w:val="24"/>
          <w:szCs w:val="24"/>
        </w:rPr>
        <w:t xml:space="preserve"> Cebriyye'nin mirası bu bakımdan salt bir aşırılık örneği olarak değil, kelam geleneğinin kendi sınırlarını keşfettiği bir deneme taşı olarak okunmalıdır.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Bu bölüm boyunca incelenen Mutezile, Mürcie ve Cebriyye, erken İslam kelam geleneğinin ne denli çoğul ve tartışmalı bir zemin üzerinde yükseldiğini ortaya koymaktadır. Mutezile, aklı ve adaleti ilahi söylemin merkezine yerleştirirken; Mürcie, imanın sınırlarını gevşeterek toplumsal parçalanmayı önlemeye çalıştı; Cebriyye ise ilahi egemenliği mutlaklaştırarak insan failliğini neredeyse ortadan kaldırdı. Bu üç ses, birbirleriyle çelişirken aslında ortak bir soruyu paylaşıyordu: İnsan, Allah ile nasıl bir ilişki içindedir? Bir sonraki bölümde görüleceği üzere, bu soruya kalıcı ve sistematik bir yanıt üretme çabası, Mutezile'nin entelektüel mirasını hem devralan hem de dönüştüren Eş'arî ve Mâtürîdî sentezlerinde somutlaşacak; böylece kelam ilmi, spekülatif tartışmadan olgunlaşmış bir teolojik geleneğe evirilecektir.</w:t>
      </w:r>
    </w:p>
    <w:p>
      <w:r>
        <w:br w:type="page"/>
      </w:r>
    </w:p>
    <w:p>
      <w:pPr>
        <w:pStyle w:val="Heading1"/>
        <w:spacing w:after="300"/>
      </w:pPr>
      <w:r>
        <w:rPr>
          <w:rFonts w:ascii="Times New Roman" w:cs="Times New Roman" w:eastAsia="Times New Roman" w:hAnsi="Times New Roman"/>
          <w:b/>
          <w:bCs/>
          <w:color w:val="000000"/>
          <w:sz w:val="32"/>
          <w:szCs w:val="32"/>
        </w:rPr>
        <w:t xml:space="preserve">3. Bölüm: Sünni Kelamın Kuruluşu: Eşari ve Maturidi</w:t>
      </w:r>
    </w:p>
    <w:p>
      <w:pPr>
        <w:pStyle w:val="Heading2"/>
        <w:spacing w:after="200" w:before="200"/>
      </w:pPr>
      <w:r>
        <w:rPr>
          <w:rFonts w:ascii="Times New Roman" w:cs="Times New Roman" w:eastAsia="Times New Roman" w:hAnsi="Times New Roman"/>
          <w:b/>
          <w:bCs/>
          <w:color w:val="000000"/>
          <w:sz w:val="28"/>
          <w:szCs w:val="28"/>
        </w:rPr>
        <w:t xml:space="preserve">Ebu'l-Hasan el-Eşari</w:t>
      </w:r>
    </w:p>
    <w:p>
      <w:pPr>
        <w:pStyle w:val="Heading3"/>
        <w:spacing w:after="100" w:before="150"/>
      </w:pPr>
      <w:r>
        <w:rPr>
          <w:rFonts w:ascii="Times New Roman" w:cs="Times New Roman" w:eastAsia="Times New Roman" w:hAnsi="Times New Roman"/>
          <w:b/>
          <w:bCs/>
          <w:color w:val="000000"/>
          <w:sz w:val="26"/>
          <w:szCs w:val="26"/>
        </w:rPr>
        <w:t xml:space="preserve">Mutezileden Dönüş ve Yeni Sentez</w:t>
      </w:r>
    </w:p>
    <w:p>
      <w:pPr>
        <w:spacing w:after="120" w:line="360"/>
        <w:ind w:firstLine="720"/>
      </w:pPr>
      <w:r>
        <w:rPr>
          <w:rFonts w:ascii="Times New Roman" w:cs="Times New Roman" w:eastAsia="Times New Roman" w:hAnsi="Times New Roman"/>
          <w:sz w:val="24"/>
          <w:szCs w:val="24"/>
        </w:rPr>
        <w:t xml:space="preserve">Kelâm ilminin tarihsel gelişimi, hiçbir dönemde bir önceki aşamayı salt olarak reddetmeksizin ilerlememiştir; aksine her büyük sentez, kendisinden önce gelen tartışmaların birikimini özümseyerek yeni bir denge noktası aramıştır. Cebriyye'nin insan iradesini ilâhî kudretin gölgesinde erittiği, Mu'tezile'nin ise aklı neredeyse bağımsız bir dinî otorite konumuna yükselttiği bir ortamda, üçüncü bölüm, bu iki aşırılık arasında Sünni kelâmın nasıl kendi özgün zeminini inşa ettiğini ele almaktadır. Söz konusu inşanın iki temel mimarı Ebü'l-Hasan el-Eş'arî ve Ebû Mansûr el-Mâtürîdî'dir; birbirinden coğrafi ve metodolojik açıdan ayrışan bu iki ekol, aynı tarihî iklimin ürünü olarak İslâm düşüncesinin sünni omurgasını oluşturmuştur. Bölüm, her iki geleneğin kökenlerini, iç dinamiklerini ve birbirleriyle örtüşen ya da ayrışan yönlerini sistematik biçimde incelemeyi amaçlamaktadır.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Kelâm tarihinin en çarpıcı entelektüel kırılmalarından biri, hiç kuşkusuz Ebü'l-Hasan el-Eş'arî'nin (ö. 324/935-936) Mu'tezile'den kopuşuyla gerçekleşmiştir. Eş'arî, uzun yıllar Basra Mu'tezile ekolünün önde gelen temsilcisi Ebû Ali el-Cübbâî'nin (ö. 303/916) öğrencisi olarak yetişmiş; Mu'tezilî yöntemin inceliklerini bizzat bu çevrede özümsemiştir. Ancak gelenek, bu kopuşu salt bir hayalkırıklığına ya da kişisel bir anlaşmazlığa indirgemez. Özellikle klasik kelâm literatüründe geniş yankı uyandıran "üç kardeş meselesi" bu dönüşümün sembolik anlatısını oluşturmaktadır: Eş'arî, hocasına üç kardeşin uhrevî akıbetine dair bir soruyu yöneltmiş; birinin mümin, birinin kâfir, birinin ise erken yaşta ölen çocuk olduğu bu senaryoda Cübbâî'nin aklî tutarlılığa yaslanarak verdiği cevabın, ilâhî hikmet ve adalet kavramlarını açıklamakta yetersiz kaldığını göstermiştir. Bu diyalog, Eş'arî'nin zihninde aklın bağımsız bir ilâhî adalet ölçütü olarak işlev göremeyeceğine dair kanaatin olgunlaştığı dönüm noktasını simgelemektedir.</w:t>
      </w:r>
      <w:r>
        <w:rPr>
          <w:rStyle w:val="FootnoteReference"/>
        </w:rPr>
        <w:footnoteReference w:id="36"/>
      </w:r>
    </w:p>
    <w:p>
      <w:pPr>
        <w:spacing w:after="120" w:line="360"/>
        <w:ind w:firstLine="720"/>
      </w:pPr>
      <w:r>
        <w:rPr>
          <w:rFonts w:ascii="Times New Roman" w:cs="Times New Roman" w:eastAsia="Times New Roman" w:hAnsi="Times New Roman"/>
          <w:sz w:val="24"/>
          <w:szCs w:val="24"/>
        </w:rPr>
        <w:t xml:space="preserve">Eş'arî'nin kopuşu, salt negatif bir ret değil, aynı zamanda yeni ve özgün bir sentezin kuruluşuydu. Mu'tezile'yi terk ettiğini kamuoyu önünde ilan ettiğine dair rivayetler, onun bu kırılmayı bilinçli ve programlı bir tercih olarak yaşadığına işaret etmektedir. Ne var ki Eş'arî, Mu'tezilî aklî yöntemi büsbütün terk etmemiştir; aksine bu yöntemi naklin sınırları içine yerleştirmiş, aklı nassın hizmetine koşullandırmıştır. Böylece Eş'arî kelâmının temel epistemik ilkesi şekillenmiştir: Akıl, dinî hakikatleri keşfetmede zorunlu bir araçtır; ancak bu araç, vahyin belirlediği çerçevenin dışına çıkamaz.</w:t>
      </w:r>
      <w:r>
        <w:rPr>
          <w:rStyle w:val="FootnoteReference"/>
        </w:rPr>
        <w:footnoteReference w:id="37"/>
      </w:r>
      <w:r>
        <w:rPr>
          <w:rFonts w:ascii="Times New Roman" w:cs="Times New Roman" w:eastAsia="Times New Roman" w:hAnsi="Times New Roman"/>
          <w:sz w:val="24"/>
          <w:szCs w:val="24"/>
        </w:rPr>
        <w:t xml:space="preserve"> Bu ilke, hem kelâm hem de fıkıh usulü geleneğinde "akıl gereklidir, fakat nakil belirleyicidir" biçiminde formüle edilecek olan dengeyi daha sistematik bir zemine taşımıştır.</w:t>
      </w:r>
    </w:p>
    <w:p>
      <w:pPr>
        <w:spacing w:after="120" w:line="360"/>
        <w:ind w:firstLine="720"/>
      </w:pPr>
      <w:r>
        <w:rPr>
          <w:rFonts w:ascii="Times New Roman" w:cs="Times New Roman" w:eastAsia="Times New Roman" w:hAnsi="Times New Roman"/>
          <w:sz w:val="24"/>
          <w:szCs w:val="24"/>
        </w:rPr>
        <w:t xml:space="preserve">Eş'arîliğin Sünni dünyada hâkim ekol hâline gelmesi, yalnızca kurucusunun özgün sentezinin bir ürünü değil, aynı zamanda sonraki nesillerin bu sentezi geliştirip kurumsal bir çerçeveye oturtmasının da sonucudur. Bâkıllânî (ö. 403/1013), Cüveynî (ö. 478/1085) ve nihayetinde Gazzâlî (ö. 505/1111) gibi isimler, Eş'arî metodunu hem felsefî eleştiriye karşı güçlendirmiş hem de medrese müfredatına entegre etmiştir.</w:t>
      </w:r>
      <w:r>
        <w:rPr>
          <w:rStyle w:val="FootnoteReference"/>
        </w:rPr>
        <w:footnoteReference w:id="38"/>
      </w:r>
      <w:r>
        <w:rPr>
          <w:rFonts w:ascii="Times New Roman" w:cs="Times New Roman" w:eastAsia="Times New Roman" w:hAnsi="Times New Roman"/>
          <w:sz w:val="24"/>
          <w:szCs w:val="24"/>
        </w:rPr>
        <w:t xml:space="preserve"> Özellikle Selçuklu dönemiyle birlikte medrese kurumunun yaygınlaşması, Eş'arî kelâmını doğu İslâm dünyasının büyük bölümünde standart bir ilahiyat dili hâline getirmiştir. Batı İslâm coğrafyasında ise Mâlikî fakihlerin Eş'arî akaidiyle kurduğu ittifak, bu geleneğin Kuzey Afrika ve Endülüs'teki köklenmesini sağlamıştır.</w:t>
      </w:r>
    </w:p>
    <w:p>
      <w:pPr>
        <w:spacing w:after="120" w:line="360"/>
        <w:ind w:firstLine="720"/>
      </w:pPr>
      <w:r>
        <w:rPr>
          <w:rFonts w:ascii="Times New Roman" w:cs="Times New Roman" w:eastAsia="Times New Roman" w:hAnsi="Times New Roman"/>
          <w:sz w:val="24"/>
          <w:szCs w:val="24"/>
        </w:rPr>
        <w:t xml:space="preserve">Böylece Eş'arî, Mu'tezile'nin aklî mirasını reddederek değil, dönüştürerek Sünni kelâmın kurucu paradigmasını oluşturmuştur. Bu paradigmanın coğrafi sınırları Batı'da Endülüs'ten Doğu'da Horasan'a uzanırken, aynı tarihî konjonktürde başka bir merkezde, Mâverâünnehir'de bambaşka bir Sünni kelâm geleneği filizlenmekteydi; bu gelenek Ebû Mansûr el-Mâtürîdî'nin adıyla anılacak ve Eş'arîlikle hem derin ortaklıklar hem de dikkat çekici farklılıklar taşıyacaktı.</w:t>
      </w:r>
    </w:p>
    <w:p>
      <w:pPr>
        <w:pStyle w:val="Heading2"/>
        <w:spacing w:after="200" w:before="200"/>
      </w:pPr>
      <w:r>
        <w:rPr>
          <w:rFonts w:ascii="Times New Roman" w:cs="Times New Roman" w:eastAsia="Times New Roman" w:hAnsi="Times New Roman"/>
          <w:b/>
          <w:bCs/>
          <w:color w:val="000000"/>
          <w:sz w:val="28"/>
          <w:szCs w:val="28"/>
        </w:rPr>
        <w:t xml:space="preserve">Ebu Mansur el-Maturidi</w:t>
      </w:r>
    </w:p>
    <w:p>
      <w:pPr>
        <w:pStyle w:val="Heading3"/>
        <w:spacing w:after="100" w:before="150"/>
      </w:pPr>
      <w:r>
        <w:rPr>
          <w:rFonts w:ascii="Times New Roman" w:cs="Times New Roman" w:eastAsia="Times New Roman" w:hAnsi="Times New Roman"/>
          <w:b/>
          <w:bCs/>
          <w:color w:val="000000"/>
          <w:sz w:val="26"/>
          <w:szCs w:val="26"/>
        </w:rPr>
        <w:t xml:space="preserve">Semerkant'tan Dünyaya: Maturidi'nin Farkı</w:t>
      </w:r>
    </w:p>
    <w:p>
      <w:pPr>
        <w:spacing w:after="120" w:line="360"/>
        <w:ind w:firstLine="720"/>
      </w:pPr>
      <w:r>
        <w:rPr>
          <w:rFonts w:ascii="Times New Roman" w:cs="Times New Roman" w:eastAsia="Times New Roman" w:hAnsi="Times New Roman"/>
          <w:sz w:val="24"/>
          <w:szCs w:val="24"/>
        </w:rPr>
        <w:t xml:space="preserve">Eşari'nin Basra ve Bağdat merkezli sentezinin Sünni kelamın batı kolunu şekillendirdiği bu tablo, doğuda eş zamanlı olarak gelişen ve kimi noktalarda belirgin biçimde ayrışan başka bir geleneği anlamayı zorunlu kılmaktadır. Bu bölüm, Maturidi'nin Semerkant'tan dünyaya yayılan kelam mirasını ve bu mirasın Eşarilik ile kurduğu gerilimli akrabalığı ele almaktadır.</w:t>
      </w:r>
    </w:p>
    <w:p>
      <w:pPr>
        <w:spacing w:after="120" w:line="360"/>
        <w:ind w:firstLine="720"/>
      </w:pPr>
      <w:r>
        <w:rPr>
          <w:rFonts w:ascii="Times New Roman" w:cs="Times New Roman" w:eastAsia="Times New Roman" w:hAnsi="Times New Roman"/>
          <w:sz w:val="24"/>
          <w:szCs w:val="24"/>
        </w:rPr>
        <w:t xml:space="preserve">Ebu Mansur el-Maturidi (ö. 333/944), Orta Asya'nın entelektüel başkenti sayılabilecek Semerkant'ta yetişmiş; Hanefi fıkıh geleneğinin içinden doğan bir kelam sistemi inşa etmiştir. </w:t>
      </w:r>
      <w:r>
        <w:rPr>
          <w:rStyle w:val="FootnoteReference"/>
        </w:rPr>
        <w:footnoteReference w:id="39"/>
      </w:r>
      <w:r>
        <w:rPr>
          <w:rFonts w:ascii="Times New Roman" w:cs="Times New Roman" w:eastAsia="Times New Roman" w:hAnsi="Times New Roman"/>
          <w:sz w:val="24"/>
          <w:szCs w:val="24"/>
        </w:rPr>
        <w:t xml:space="preserve"> Bu köken rastlantısal değildir: Hanefi usulü, nasların yorumunda re'ye —akli muhakemeye— görece geniş bir alan tanıdığından, Maturidi'nin kelami tutumu da başından itibaren aklın bilgi kapasitesine daha cömert bir güven çerçevesinde şekillenmiştir. </w:t>
      </w:r>
      <w:r>
        <w:rPr>
          <w:rStyle w:val="FootnoteReference"/>
        </w:rPr>
        <w:footnoteReference w:id="40"/>
      </w:r>
      <w:r>
        <w:rPr>
          <w:rFonts w:ascii="Times New Roman" w:cs="Times New Roman" w:eastAsia="Times New Roman" w:hAnsi="Times New Roman"/>
          <w:sz w:val="24"/>
          <w:szCs w:val="24"/>
        </w:rPr>
        <w:t xml:space="preserve"> Nitekim Maturidi, aklın tek başına Allah'ın varlığını ve bazı ahlaki ilkeleri bilebileceğini savunurken, Eşari bu tür bilgiyi büyük ölçüde vahyin rehberliğine bağlamaktaydı. </w:t>
      </w:r>
      <w:r>
        <w:rPr>
          <w:rStyle w:val="FootnoteReference"/>
        </w:rPr>
        <w:footnoteReference w:id="41"/>
      </w:r>
      <w:r>
        <w:rPr>
          <w:rFonts w:ascii="Times New Roman" w:cs="Times New Roman" w:eastAsia="Times New Roman" w:hAnsi="Times New Roman"/>
          <w:sz w:val="24"/>
          <w:szCs w:val="24"/>
        </w:rPr>
        <w:t xml:space="preserve"> İki düşünürün yaşadığı dönemde birbirinden haberdar olup olmadıkları tartışmalı olmakla birlikte, geliştirdikleri sistemlerin Sünni kelamın iki ayrı eksenini tanımladığı bugün genel kabul görmektedir. </w:t>
      </w:r>
      <w:r>
        <w:rPr>
          <w:rStyle w:val="FootnoteReference"/>
        </w:rPr>
        <w:footnoteReference w:id="42"/>
      </w:r>
    </w:p>
    <w:p>
      <w:pPr>
        <w:spacing w:after="120" w:line="360"/>
        <w:ind w:firstLine="720"/>
      </w:pPr>
      <w:r>
        <w:rPr>
          <w:rFonts w:ascii="Times New Roman" w:cs="Times New Roman" w:eastAsia="Times New Roman" w:hAnsi="Times New Roman"/>
          <w:sz w:val="24"/>
          <w:szCs w:val="24"/>
        </w:rPr>
        <w:t xml:space="preserve">İki ekol arasındaki farklar, ayrıntıda anlam kazanır. Maturidi'ye göre akıl, şükrün vacip olduğunu ve kötülüğün çirkinliğini vahiyden bağımsız olarak idrak edebilir; bu, hüsn ve kubhun —güzellik ve çirkinliğin— kısmen akli temele oturduğu anlamına gelir. </w:t>
      </w:r>
      <w:r>
        <w:rPr>
          <w:rStyle w:val="FootnoteReference"/>
        </w:rPr>
        <w:footnoteReference w:id="43"/>
      </w:r>
      <w:r>
        <w:rPr>
          <w:rFonts w:ascii="Times New Roman" w:cs="Times New Roman" w:eastAsia="Times New Roman" w:hAnsi="Times New Roman"/>
          <w:sz w:val="24"/>
          <w:szCs w:val="24"/>
        </w:rPr>
        <w:t xml:space="preserve"> Eşari ise bu meseleyi farklı noktalarda bağlar: ahlaki nitelendirme vahiyle belirlenir, akıl onu keşfetmez. </w:t>
      </w:r>
      <w:r>
        <w:rPr>
          <w:rStyle w:val="FootnoteReference"/>
        </w:rPr>
        <w:footnoteReference w:id="44"/>
      </w:r>
      <w:r>
        <w:rPr>
          <w:rFonts w:ascii="Times New Roman" w:cs="Times New Roman" w:eastAsia="Times New Roman" w:hAnsi="Times New Roman"/>
          <w:sz w:val="24"/>
          <w:szCs w:val="24"/>
        </w:rPr>
        <w:t xml:space="preserve"> Benzer bir ayrışma, imanın tanımında da gözlemlenir: Maturidi imanı kalpte tasdik olarak belirler ve ameli imandan kesinlikle ayrı tutar; Eşari'nin takipçileri ise bu sınırı çoğunlukla daha temkinli çizerler. </w:t>
      </w:r>
      <w:r>
        <w:rPr>
          <w:rStyle w:val="FootnoteReference"/>
        </w:rPr>
        <w:footnoteReference w:id="45"/>
      </w:r>
      <w:r>
        <w:rPr>
          <w:rFonts w:ascii="Times New Roman" w:cs="Times New Roman" w:eastAsia="Times New Roman" w:hAnsi="Times New Roman"/>
          <w:sz w:val="24"/>
          <w:szCs w:val="24"/>
        </w:rPr>
        <w:t xml:space="preserve"> Sıfatlar meselesinde de iki ekolün eğilimleri nüanslı biçimde ayrışır; Maturidi, Allah'ın sıfatlarını zattan ne özdeş ne de tamamen ayrı sayan bir formül geliştirirken, Eşari'nin çizgisi bu formülasyonu kimi noktalarda farklı kavramsal araçlarla yeniden kurar. </w:t>
      </w:r>
      <w:r>
        <w:rPr>
          <w:rStyle w:val="FootnoteReference"/>
        </w:rPr>
        <w:footnoteReference w:id="46"/>
      </w:r>
    </w:p>
    <w:p>
      <w:pPr>
        <w:spacing w:after="120" w:line="360"/>
        <w:ind w:firstLine="720"/>
      </w:pPr>
      <w:r>
        <w:rPr>
          <w:rFonts w:ascii="Times New Roman" w:cs="Times New Roman" w:eastAsia="Times New Roman" w:hAnsi="Times New Roman"/>
          <w:sz w:val="24"/>
          <w:szCs w:val="24"/>
        </w:rPr>
        <w:t xml:space="preserve">Maturidi'nin mirası, onun yaşadığı coğrafyayla sınırlı kalmamıştır. Semerkant'tan başlayan kelam geleneği, Hanefi mezhebinin Orta Asya, Hindistan, Osmanlı coğrafyası ve Balkanlar'a yayılmasıyla birlikte küresel bir ölçek kazanmıştır. </w:t>
      </w:r>
      <w:r>
        <w:rPr>
          <w:rStyle w:val="FootnoteReference"/>
        </w:rPr>
        <w:footnoteReference w:id="47"/>
      </w:r>
      <w:r>
        <w:rPr>
          <w:rFonts w:ascii="Times New Roman" w:cs="Times New Roman" w:eastAsia="Times New Roman" w:hAnsi="Times New Roman"/>
          <w:sz w:val="24"/>
          <w:szCs w:val="24"/>
        </w:rPr>
        <w:t xml:space="preserve"> Bugün dünya Müslüman nüfusunun yaklaşık yarısının Hanefi-Maturidi geleneğe mensup olduğu tahmin edilmektedir. </w:t>
      </w:r>
      <w:r>
        <w:rPr>
          <w:rStyle w:val="FootnoteReference"/>
        </w:rPr>
        <w:footnoteReference w:id="48"/>
      </w:r>
      <w:r>
        <w:rPr>
          <w:rFonts w:ascii="Times New Roman" w:cs="Times New Roman" w:eastAsia="Times New Roman" w:hAnsi="Times New Roman"/>
          <w:sz w:val="24"/>
          <w:szCs w:val="24"/>
        </w:rPr>
        <w:t xml:space="preserve"> Bu rakam, Maturidi'yi salt bir Orta Asya düşünürü olarak değil, Sünni kelamın kurucu figürlerinden biri olarak konumlandırmayı zorunlu kılar.</w:t>
      </w:r>
    </w:p>
    <w:p>
      <w:pPr>
        <w:spacing w:after="120" w:line="360"/>
        <w:ind w:firstLine="720"/>
      </w:pPr>
      <w:r>
        <w:rPr>
          <w:rFonts w:ascii="Times New Roman" w:cs="Times New Roman" w:eastAsia="Times New Roman" w:hAnsi="Times New Roman"/>
          <w:sz w:val="24"/>
          <w:szCs w:val="24"/>
        </w:rPr>
        <w:t xml:space="preserve">Bu bölüm boyunca izlenen tablo şunu açıkça ortaya koymaktadır: Sünni kelam, dokuzuncu ve onuncu yüzyıllarda tek bir ses olarak değil, birbirini tamamlayan ve kimi meselelerde gerilim yaratan iki ana kol olarak varlık kazanmıştır. Eşari'nin Mutezile ile hesaplaşmasından doğan sentezi ve Maturidi'nin Hanefi akıl anlayışından beslenen daha özgür epistemolojiyle kurduğu sistem, birlikte Sünni ortodoksinin kelami zeminini döşemiştir. Bu iki kolun nasıl farklı entelektüel meydan okumalarla yüzleştiği, Kelam geleneğinin felsefeyle girdiği uzun ve karmaşık diyalog içinde daha açık seçik görünür hale gelecektir; zira filozofların aynasına tutulduğunda her iki ekolün de sınırları ve kaynakları yeniden sorgulanmak durumunda kalacaktır.</w:t>
      </w:r>
    </w:p>
    <w:p>
      <w:r>
        <w:br w:type="page"/>
      </w:r>
    </w:p>
    <w:p>
      <w:pPr>
        <w:pStyle w:val="Heading1"/>
        <w:spacing w:after="300"/>
      </w:pPr>
      <w:r>
        <w:rPr>
          <w:rFonts w:ascii="Times New Roman" w:cs="Times New Roman" w:eastAsia="Times New Roman" w:hAnsi="Times New Roman"/>
          <w:b/>
          <w:bCs/>
          <w:color w:val="000000"/>
          <w:sz w:val="32"/>
          <w:szCs w:val="32"/>
        </w:rPr>
        <w:t xml:space="preserve">4. Bölüm: Klasik Dönemin Zirvesi ve Sonrası</w:t>
      </w:r>
    </w:p>
    <w:p>
      <w:pPr>
        <w:pStyle w:val="Heading2"/>
        <w:spacing w:after="200" w:before="200"/>
      </w:pPr>
      <w:r>
        <w:rPr>
          <w:rFonts w:ascii="Times New Roman" w:cs="Times New Roman" w:eastAsia="Times New Roman" w:hAnsi="Times New Roman"/>
          <w:b/>
          <w:bCs/>
          <w:color w:val="000000"/>
          <w:sz w:val="28"/>
          <w:szCs w:val="28"/>
        </w:rPr>
        <w:t xml:space="preserve">Gazzali: Kelamın ve Felsefenin Kavşağı</w:t>
      </w:r>
    </w:p>
    <w:p>
      <w:pPr>
        <w:pStyle w:val="Heading3"/>
        <w:spacing w:after="100" w:before="150"/>
      </w:pPr>
      <w:r>
        <w:rPr>
          <w:rFonts w:ascii="Times New Roman" w:cs="Times New Roman" w:eastAsia="Times New Roman" w:hAnsi="Times New Roman"/>
          <w:b/>
          <w:bCs/>
          <w:color w:val="000000"/>
          <w:sz w:val="26"/>
          <w:szCs w:val="26"/>
        </w:rPr>
        <w:t xml:space="preserve">Filozoflara Tutturulan Ayna</w:t>
      </w:r>
    </w:p>
    <w:p>
      <w:pPr>
        <w:spacing w:after="120" w:line="360"/>
        <w:ind w:firstLine="720"/>
      </w:pPr>
      <w:r>
        <w:rPr>
          <w:rFonts w:ascii="Times New Roman" w:cs="Times New Roman" w:eastAsia="Times New Roman" w:hAnsi="Times New Roman"/>
          <w:sz w:val="24"/>
          <w:szCs w:val="24"/>
        </w:rPr>
        <w:t xml:space="preserve">Onuncu yüzyılın sonlarından itibaren Mâtürîdî geleneğinin Semerkant merkezli düşünce çevreleriyle doğuya yayılması, kelâm ilminin sistematikleşme sürecinin önemli bir evresini oluşturuyordu. Ancak bu olgunlaşma süreci, yaklaşan büyük bir entelektüel krizin farkında değildi: İslâm coğrafyasında Fârâbî ve İbn Sînâ'nın felsefî mirasının yarattığı entelektüel dalgalar, kelâmın sınırlarını test etmeye başlamıştı. Dördüncü bölüm, işte bu gerilimin doruk noktasını, aynı zamanda kelâm ilminin kendi içindeki çoğullaşmasını ve dönüşümünü konu almaktadır. Gazzâlî'nin felsefiye yönelik kapsamlı eleştirisi, Fahreddin Râzî'nin sistemleştirici dehası ve kelâm-felsefe sentezine giden uzun yolun haritası, bölümün temel eksenlerini oluşturmaktadır.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Hicrî beşinci yüzyılın sonları, İslâm düşüncesinin en büyük entelektüel düellosuna sahne oldu. Bir tarafta Fârâbî ve İbn Sînâ'nın inşa ettiği görkemli felsefî bina duruyordu; Aristocu mantığın çatısı altında metafizik, psikoloji ve kozmoloji iç içe geçmiş, İslâmî kavramlar Yeni-Eflâtuncu bir renge büründürülmüştü. Diğer tarafta ise Ebû Hâmid Muhammed el-Gazzâlî (ö. 505/1111) —Horasan'dan Bağdat'a uzanan medreselerde yetişmiş, Şâfiî fıkhı ve Eş'arî kelâmında derinleşmiş bir âlim— bu binanın temellerini sorgulamak üzere kaleme sarıldı. Ortaya çıkan eser, </w:t>
      </w:r>
      <w:r>
        <w:rPr>
          <w:rFonts w:ascii="Times New Roman" w:cs="Times New Roman" w:eastAsia="Times New Roman" w:hAnsi="Times New Roman"/>
          <w:i/>
          <w:iCs/>
          <w:sz w:val="24"/>
          <w:szCs w:val="24"/>
        </w:rPr>
        <w:t xml:space="preserve">Tehâfütü'l-Felâsife</w:t>
      </w:r>
      <w:r>
        <w:rPr>
          <w:rFonts w:ascii="Times New Roman" w:cs="Times New Roman" w:eastAsia="Times New Roman" w:hAnsi="Times New Roman"/>
          <w:sz w:val="24"/>
          <w:szCs w:val="24"/>
        </w:rPr>
        <w:t xml:space="preserve"> (Filozofların Tutarsızlığı), sadece bir reddiye değil, dönemin en özenli felsefî eleştiri metinlerinden biriydi. </w:t>
      </w:r>
      <w:r>
        <w:rPr>
          <w:rStyle w:val="FootnoteReference"/>
        </w:rPr>
        <w:footnoteReference w:id="49"/>
      </w:r>
    </w:p>
    <w:p>
      <w:pPr>
        <w:spacing w:after="120" w:line="360"/>
        <w:ind w:firstLine="720"/>
      </w:pPr>
      <w:r>
        <w:rPr>
          <w:rFonts w:ascii="Times New Roman" w:cs="Times New Roman" w:eastAsia="Times New Roman" w:hAnsi="Times New Roman"/>
          <w:sz w:val="24"/>
          <w:szCs w:val="24"/>
        </w:rPr>
        <w:t xml:space="preserve">Gazzâlî'nin yaklaşımındaki asıl özgünlük, düşmanını kendi silahıyla vurmayı seçmesiydi.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'ün önsözünde açıkça ilan edilir: Filozofların görüşleri, felsefî argümanlarla çürütülecektir; zira nakle dayanarak yapılan bir eleştiri, felsefeye sarılmış bir muhatabı ikna etmeye yetmez. </w:t>
      </w:r>
      <w:r>
        <w:rPr>
          <w:rStyle w:val="FootnoteReference"/>
        </w:rPr>
        <w:footnoteReference w:id="50"/>
      </w:r>
      <w:r>
        <w:rPr>
          <w:rFonts w:ascii="Times New Roman" w:cs="Times New Roman" w:eastAsia="Times New Roman" w:hAnsi="Times New Roman"/>
          <w:sz w:val="24"/>
          <w:szCs w:val="24"/>
        </w:rPr>
        <w:t xml:space="preserve"> Bu epistemik tutum, Gazzâlî'yi seleflerinden ayıran temel hamledir: Kelâm, artık yalnızca kendi kapalı söyleminde dolaşmak yerine rakibin arenasına adım atmaktadır.</w:t>
      </w:r>
    </w:p>
    <w:p>
      <w:pPr>
        <w:spacing w:after="120" w:line="360"/>
        <w:ind w:firstLine="720"/>
      </w:pPr>
      <w:r>
        <w:rPr>
          <w:rFonts w:ascii="Times New Roman" w:cs="Times New Roman" w:eastAsia="Times New Roman" w:hAnsi="Times New Roman"/>
          <w:sz w:val="24"/>
          <w:szCs w:val="24"/>
        </w:rPr>
        <w:t xml:space="preserve">Yirmi meseleden oluşan bu entelektüel dövüşün kronolojik seyrine bakıldığında, üç mesele öne çıkar ve Gazzâlî bu üçü için özellikle "küfür" hükmünü verir. İlki, filozofların âlemin ezelîliği (kıdem-i âlem) tezidir: Fârâbî ve İbn Sînâ'nın sudûr anlayışına göre âlem, zamansal bir yaratma eylemiyle değil, Tanrı'nın zorunlu varlığından ebedî bir feyiz yoluyla ortaya çıkmıştır. Gazzâlî, bu görüşün Tanrı'nın irâde ve kudret sıfatlarını fiilen geçersiz kıldığını, dolayısıyla yaratıcılık anlayışını temelden sarstığını ileri sürer. </w:t>
      </w:r>
      <w:r>
        <w:rPr>
          <w:rStyle w:val="FootnoteReference"/>
        </w:rPr>
        <w:footnoteReference w:id="51"/>
      </w:r>
      <w:r>
        <w:rPr>
          <w:rFonts w:ascii="Times New Roman" w:cs="Times New Roman" w:eastAsia="Times New Roman" w:hAnsi="Times New Roman"/>
          <w:sz w:val="24"/>
          <w:szCs w:val="24"/>
        </w:rPr>
        <w:t xml:space="preserve"> İkincisi, Tanrı'nın cüziyyâtı (tikelleri) bilmediği iddiasıdır: İbn Sînâ'nın Tanrı anlayışında ilâhî bilgi yalnızca tümeller düzeyinde işler; Tanrı, değişken ve çoğul olan tikel varlıkları küllî bir tarzda bilir. Gazzâlî bu görüşün, ilâhî ilim ve irâdeyi sınırlayarak peygamberliği ve vahyi anlamsızlaştırdığını savunur. </w:t>
      </w:r>
      <w:r>
        <w:rPr>
          <w:rStyle w:val="FootnoteReference"/>
        </w:rPr>
        <w:footnoteReference w:id="52"/>
      </w:r>
      <w:r>
        <w:rPr>
          <w:rFonts w:ascii="Times New Roman" w:cs="Times New Roman" w:eastAsia="Times New Roman" w:hAnsi="Times New Roman"/>
          <w:sz w:val="24"/>
          <w:szCs w:val="24"/>
        </w:rPr>
        <w:t xml:space="preserve"> Üçüncüsü ise cismanî haşrin reddine dair tezdir: Filozoflar, âhiret hayatını ruhsal bir varoluş olarak yorumladıklarından, bedenin yeniden dirileceğine ilişkin nassları mecazî çerçevede değerlendirme eğilimindedirler. Gazzâlî, bu üç meselede millet-i İslâm'ın icmaına açık bir muhalefet gördüğünden "küfür" kararını kaçınılmaz sayar. </w:t>
      </w:r>
      <w:r>
        <w:rPr>
          <w:rStyle w:val="FootnoteReference"/>
        </w:rPr>
        <w:footnoteReference w:id="53"/>
      </w:r>
    </w:p>
    <w:p>
      <w:pPr>
        <w:spacing w:after="120" w:line="360"/>
        <w:ind w:firstLine="720"/>
      </w:pPr>
      <w:r>
        <w:rPr>
          <w:rFonts w:ascii="Times New Roman" w:cs="Times New Roman" w:eastAsia="Times New Roman" w:hAnsi="Times New Roman"/>
          <w:sz w:val="24"/>
          <w:szCs w:val="24"/>
        </w:rPr>
        <w:t xml:space="preserve">Bununla birlikte, Gazzâlî'nin felsefenin tamamını reddettiğini ileri sürmek, metnin söylediklerini aşırı basitleştirmek olur.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'ün çerçevesinin dışında tutulduğunda, Gazzâlî mantık ve doğa felsefesinin önemli bir bölümünü kabul eder. Matematik, mantık ve doğa bilimleri alanlarında filozofların ulaştığı sonuçlara itirazı yoktur; ona göre bunların reddedilmesi, dinî eleştiriyi gülünç kılar. </w:t>
      </w:r>
      <w:r>
        <w:rPr>
          <w:rStyle w:val="FootnoteReference"/>
        </w:rPr>
        <w:footnoteReference w:id="54"/>
      </w:r>
      <w:r>
        <w:rPr>
          <w:rFonts w:ascii="Times New Roman" w:cs="Times New Roman" w:eastAsia="Times New Roman" w:hAnsi="Times New Roman"/>
          <w:sz w:val="24"/>
          <w:szCs w:val="24"/>
        </w:rPr>
        <w:t xml:space="preserve"> Bunun da ötesinde, İbn Sînâ'nın sudûr kozmolojisini ve nedensellik anlayışını Eş'arî kelâmının sınırları içinde kısmen yorumlayan </w:t>
      </w:r>
      <w:r>
        <w:rPr>
          <w:rFonts w:ascii="Times New Roman" w:cs="Times New Roman" w:eastAsia="Times New Roman" w:hAnsi="Times New Roman"/>
          <w:i/>
          <w:iCs/>
          <w:sz w:val="24"/>
          <w:szCs w:val="24"/>
        </w:rPr>
        <w:t xml:space="preserve">Mekâsıdü'l-Felâsife</w:t>
      </w:r>
      <w:r>
        <w:rPr>
          <w:rFonts w:ascii="Times New Roman" w:cs="Times New Roman" w:eastAsia="Times New Roman" w:hAnsi="Times New Roman"/>
          <w:sz w:val="24"/>
          <w:szCs w:val="24"/>
        </w:rPr>
        <w:t xml:space="preserve"> adlı eserinde filozofları tarafsız biçimde özetlemesi, Gazzâlî'nin felsefî dile tam anlamıyla hâkim olduğunu göstermektedir. </w:t>
      </w:r>
      <w:r>
        <w:rPr>
          <w:rStyle w:val="FootnoteReference"/>
        </w:rPr>
        <w:footnoteReference w:id="55"/>
      </w:r>
      <w:r>
        <w:rPr>
          <w:rFonts w:ascii="Times New Roman" w:cs="Times New Roman" w:eastAsia="Times New Roman" w:hAnsi="Times New Roman"/>
          <w:sz w:val="24"/>
          <w:szCs w:val="24"/>
        </w:rPr>
        <w:t xml:space="preserve"> Dolayısıyla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 felsefeye körü körüne kapatılmış bir kapı değil, aksine hangi kapıların açık, hangilerinin kapalı tutulacağını titizlikle belirleyen bir sınır haritasıdır.</w:t>
      </w:r>
    </w:p>
    <w:p>
      <w:pPr>
        <w:spacing w:after="120" w:line="360"/>
        <w:ind w:firstLine="720"/>
      </w:pPr>
      <w:r>
        <w:rPr>
          <w:rFonts w:ascii="Times New Roman" w:cs="Times New Roman" w:eastAsia="Times New Roman" w:hAnsi="Times New Roman"/>
          <w:sz w:val="24"/>
          <w:szCs w:val="24"/>
        </w:rPr>
        <w:t xml:space="preserve">Kelâm tarihi açısından değerlendirildiğinde,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 bir dönüm noktasını işaretler. Gazzâlî öncesinde Eş'arî kelâmı, felsefî sisteme mesafelidir; Bâkıllânî ve Cüveynî gibi isimler mantık araçlarını kullansalar da metafizik tartışmayı sınırlı tutarlar. Gazzâlî'nin hamlesi ise kelâmı, felsefeyle hesaplaşmak zorunda olduğunu kabul eden bir disipline dönüştürür: Artık filozofu reddetmek için önce filozofu anlamak gerekmektedir. </w:t>
      </w:r>
      <w:r>
        <w:rPr>
          <w:rStyle w:val="FootnoteReference"/>
        </w:rPr>
        <w:footnoteReference w:id="56"/>
      </w:r>
      <w:r>
        <w:rPr>
          <w:rFonts w:ascii="Times New Roman" w:cs="Times New Roman" w:eastAsia="Times New Roman" w:hAnsi="Times New Roman"/>
          <w:sz w:val="24"/>
          <w:szCs w:val="24"/>
        </w:rPr>
        <w:t xml:space="preserve"> Bu paradoksal durum —felsefeyi yıkmak için felsefeye başvurmak— sonraki yüzyıllarda kelâm ile felsefenin birbirinden keskin biçimde ayrışamayacağının da ilk habercisidir.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'ün açtığı yara, Fahreddin Râzî'nin kuşatıcı sisteminde, nihayetinde de İbn Rüşd'ün </w:t>
      </w:r>
      <w:r>
        <w:rPr>
          <w:rFonts w:ascii="Times New Roman" w:cs="Times New Roman" w:eastAsia="Times New Roman" w:hAnsi="Times New Roman"/>
          <w:i/>
          <w:iCs/>
          <w:sz w:val="24"/>
          <w:szCs w:val="24"/>
        </w:rPr>
        <w:t xml:space="preserve">Tehâfütü't-Tehâfüt</w:t>
      </w:r>
      <w:r>
        <w:rPr>
          <w:rFonts w:ascii="Times New Roman" w:cs="Times New Roman" w:eastAsia="Times New Roman" w:hAnsi="Times New Roman"/>
          <w:sz w:val="24"/>
          <w:szCs w:val="24"/>
        </w:rPr>
        <w:t xml:space="preserve">'ündeki güçlü karşılığında görüleceği üzere, İslâm düşüncesini derinden biçimlendirecektir. Böylece Gazzâlî, felsefeye karşı duruşunu ilan ederken aslında onu kelâmın yörüngesine çekmiş; bir sonraki adımda sorunun artık "felsefeden nasıl uzak durulur?" değil, "felsefe ile nasıl barışılır?" biçiminde sorulacağı yeni bir entelektüel iklimi hazırlamıştır.</w:t>
      </w:r>
    </w:p>
    <w:p>
      <w:pPr>
        <w:pStyle w:val="Heading2"/>
        <w:spacing w:after="200" w:before="200"/>
      </w:pPr>
      <w:r>
        <w:rPr>
          <w:rFonts w:ascii="Times New Roman" w:cs="Times New Roman" w:eastAsia="Times New Roman" w:hAnsi="Times New Roman"/>
          <w:b/>
          <w:bCs/>
          <w:color w:val="000000"/>
          <w:sz w:val="28"/>
          <w:szCs w:val="28"/>
        </w:rPr>
        <w:t xml:space="preserve">Fahreddin Razi ve Sonrası</w:t>
      </w:r>
    </w:p>
    <w:p>
      <w:pPr>
        <w:pStyle w:val="Heading3"/>
        <w:spacing w:after="100" w:before="150"/>
      </w:pPr>
      <w:r>
        <w:rPr>
          <w:rFonts w:ascii="Times New Roman" w:cs="Times New Roman" w:eastAsia="Times New Roman" w:hAnsi="Times New Roman"/>
          <w:b/>
          <w:bCs/>
          <w:color w:val="000000"/>
          <w:sz w:val="26"/>
          <w:szCs w:val="26"/>
        </w:rPr>
        <w:t xml:space="preserve">Felsefe ile Barışma ve Duraksama</w:t>
      </w:r>
    </w:p>
    <w:p>
      <w:pPr>
        <w:spacing w:after="120" w:line="360"/>
        <w:ind w:firstLine="720"/>
      </w:pPr>
      <w:r>
        <w:rPr>
          <w:rFonts w:ascii="Times New Roman" w:cs="Times New Roman" w:eastAsia="Times New Roman" w:hAnsi="Times New Roman"/>
          <w:sz w:val="24"/>
          <w:szCs w:val="24"/>
        </w:rPr>
        <w:t xml:space="preserve">Kelam ile felsefe arasındaki gerilimin en keskin biçimde tecrübe edildiği dönemin ardından, bu bölüm söz konusu gerilimin nasıl bir senteze dönüştüğünü ve bu sentezin klasik kelamın kaderini nasıl şekillendirdiğini ele almaktadır.</w:t>
      </w:r>
    </w:p>
    <w:p>
      <w:pPr>
        <w:spacing w:after="120" w:line="360"/>
        <w:ind w:firstLine="720"/>
      </w:pPr>
      <w:r>
        <w:rPr>
          <w:rFonts w:ascii="Times New Roman" w:cs="Times New Roman" w:eastAsia="Times New Roman" w:hAnsi="Times New Roman"/>
          <w:sz w:val="24"/>
          <w:szCs w:val="24"/>
        </w:rPr>
        <w:t xml:space="preserve">Gazzâlî'nin felsefeye yönelttiği eleştiriler bir kırılma noktası oluşturmuş olsa da, paradoks biçimde, felsefi söylemin kelam içindeki varlığını silmek şöyle dursun, onu daha da derinleştirmiştir. Bu dönüşümün en belirgin mimarı Fahreddin Râzî'dir (ö. 606/1210). Râzî, önceki kuşakların Eş'arî kelamını felsefi mantık ve fizik sorunlarıyla yüzleşmeye zorlamış; İbn Sînâ metafiziğinin kavramsal araçlarını —zorunlu varlık, mâhiyet-vücûd ayrımı, nedensellik hiyerarşisi— reddetmek yerine eleştirel biçimde bünyesine katmıştır. </w:t>
      </w:r>
      <w:r>
        <w:rPr>
          <w:rStyle w:val="FootnoteReference"/>
        </w:rPr>
        <w:footnoteReference w:id="57"/>
      </w:r>
      <w:r>
        <w:rPr>
          <w:rFonts w:ascii="Times New Roman" w:cs="Times New Roman" w:eastAsia="Times New Roman" w:hAnsi="Times New Roman"/>
          <w:sz w:val="24"/>
          <w:szCs w:val="24"/>
        </w:rPr>
        <w:t xml:space="preserve"> Bu yaklaşım, kelâmın bir "savunma ilmi" olmaktan çıkıp spekülatif bir araştırma programına dönüşmesi anlamına geliyordu; nitekim Râzî'nin </w:t>
      </w:r>
      <w:r>
        <w:rPr>
          <w:rFonts w:ascii="Times New Roman" w:cs="Times New Roman" w:eastAsia="Times New Roman" w:hAnsi="Times New Roman"/>
          <w:i/>
          <w:iCs/>
          <w:sz w:val="24"/>
          <w:szCs w:val="24"/>
        </w:rPr>
        <w:t xml:space="preserve">el-Mebâḥis̱ü'l-Meşrıḳiyye</w:t>
      </w:r>
      <w:r>
        <w:rPr>
          <w:rFonts w:ascii="Times New Roman" w:cs="Times New Roman" w:eastAsia="Times New Roman" w:hAnsi="Times New Roman"/>
          <w:sz w:val="24"/>
          <w:szCs w:val="24"/>
        </w:rPr>
        <w:t xml:space="preserve"> ve </w:t>
      </w:r>
      <w:r>
        <w:rPr>
          <w:rFonts w:ascii="Times New Roman" w:cs="Times New Roman" w:eastAsia="Times New Roman" w:hAnsi="Times New Roman"/>
          <w:i/>
          <w:iCs/>
          <w:sz w:val="24"/>
          <w:szCs w:val="24"/>
        </w:rPr>
        <w:t xml:space="preserve">el-Muḥaṣṣal</w:t>
      </w:r>
      <w:r>
        <w:rPr>
          <w:rFonts w:ascii="Times New Roman" w:cs="Times New Roman" w:eastAsia="Times New Roman" w:hAnsi="Times New Roman"/>
          <w:sz w:val="24"/>
          <w:szCs w:val="24"/>
        </w:rPr>
        <w:t xml:space="preserve"> gibi eserleri, teolojik ve felsefi meseleleri birbirinden ayırt etmeyi neredeyse imkânsız kılacak ölçüde iç içe geçirir. </w:t>
      </w:r>
      <w:r>
        <w:rPr>
          <w:rStyle w:val="FootnoteReference"/>
        </w:rPr>
        <w:footnoteReference w:id="58"/>
      </w:r>
    </w:p>
    <w:p>
      <w:pPr>
        <w:spacing w:after="120" w:line="360"/>
        <w:ind w:firstLine="720"/>
      </w:pPr>
      <w:r>
        <w:rPr>
          <w:rFonts w:ascii="Times New Roman" w:cs="Times New Roman" w:eastAsia="Times New Roman" w:hAnsi="Times New Roman"/>
          <w:sz w:val="24"/>
          <w:szCs w:val="24"/>
        </w:rPr>
        <w:t xml:space="preserve">Râzî'nin yöntemi özünde ansiklopedik bir karaktere sahipti. Her meselede önce felsefi konumları —Meşşâî, İşrâkî, tabiatçı— ayrıntılı biçimde sunmak, ardından bunlara kelamî itirazlar yöneltmek ve nihayetinde bir tercihte bulunmak ya da meseleyi açık bırakmak temel prosedürünü oluşturuyordu. </w:t>
      </w:r>
      <w:r>
        <w:rPr>
          <w:rStyle w:val="FootnoteReference"/>
        </w:rPr>
        <w:footnoteReference w:id="59"/>
      </w:r>
      <w:r>
        <w:rPr>
          <w:rFonts w:ascii="Times New Roman" w:cs="Times New Roman" w:eastAsia="Times New Roman" w:hAnsi="Times New Roman"/>
          <w:sz w:val="24"/>
          <w:szCs w:val="24"/>
        </w:rPr>
        <w:t xml:space="preserve"> Bu yaklaşım, kelamî tartışmanın kapsamını muazzam ölçüde genişletirken aynı zamanda onu bir tür epistemoik yorgunluğa sürükledi. Zira Râzî, pek çok meselede şüpheci bir tutum benimseyerek kesin çözümler sunmaktan kaçındı; bu durum sonraki nesiller tarafından hem bir dürüstlük erdemi hem de çözümsüzlüğün itirafı olarak okundu. </w:t>
      </w:r>
      <w:r>
        <w:rPr>
          <w:rStyle w:val="FootnoteReference"/>
        </w:rPr>
        <w:footnoteReference w:id="60"/>
      </w:r>
      <w:r>
        <w:rPr>
          <w:rFonts w:ascii="Times New Roman" w:cs="Times New Roman" w:eastAsia="Times New Roman" w:hAnsi="Times New Roman"/>
          <w:sz w:val="24"/>
          <w:szCs w:val="24"/>
        </w:rPr>
        <w:t xml:space="preserve"> Nitekim Râzî'nin ölümünden sonra kaleme alınan hâşiye ve ta'lik literatürü, büyük ölçüde onun açık bıraktığı soruları kapatma ya da en azından sınıflandırma çabasından ibaret kaldı.</w:t>
      </w:r>
    </w:p>
    <w:p>
      <w:pPr>
        <w:spacing w:after="120" w:line="360"/>
        <w:ind w:firstLine="720"/>
      </w:pPr>
      <w:r>
        <w:rPr>
          <w:rFonts w:ascii="Times New Roman" w:cs="Times New Roman" w:eastAsia="Times New Roman" w:hAnsi="Times New Roman"/>
          <w:sz w:val="24"/>
          <w:szCs w:val="24"/>
        </w:rPr>
        <w:t xml:space="preserve">Bu noktada klasik dönemin kapanışını belirleyen yapısal bir duraklama söz konusudur. Râzî sonrası kelam, yeni problemler üretmek yerine mevcut tartışmaları şerh, ihtisar ve sistematizasyon yoluyla aktarma işlevini üstlendi. Tûsî'nin </w:t>
      </w:r>
      <w:r>
        <w:rPr>
          <w:rFonts w:ascii="Times New Roman" w:cs="Times New Roman" w:eastAsia="Times New Roman" w:hAnsi="Times New Roman"/>
          <w:i/>
          <w:iCs/>
          <w:sz w:val="24"/>
          <w:szCs w:val="24"/>
        </w:rPr>
        <w:t xml:space="preserve">Tecrîdü'l-İ'tiḳâd</w:t>
      </w:r>
      <w:r>
        <w:rPr>
          <w:rFonts w:ascii="Times New Roman" w:cs="Times New Roman" w:eastAsia="Times New Roman" w:hAnsi="Times New Roman"/>
          <w:sz w:val="24"/>
          <w:szCs w:val="24"/>
        </w:rPr>
        <w:t xml:space="preserve">'ı ve Îcî'nin </w:t>
      </w:r>
      <w:r>
        <w:rPr>
          <w:rFonts w:ascii="Times New Roman" w:cs="Times New Roman" w:eastAsia="Times New Roman" w:hAnsi="Times New Roman"/>
          <w:i/>
          <w:iCs/>
          <w:sz w:val="24"/>
          <w:szCs w:val="24"/>
        </w:rPr>
        <w:t xml:space="preserve">el-Mevâḳıf</w:t>
      </w:r>
      <w:r>
        <w:rPr>
          <w:rFonts w:ascii="Times New Roman" w:cs="Times New Roman" w:eastAsia="Times New Roman" w:hAnsi="Times New Roman"/>
          <w:sz w:val="24"/>
          <w:szCs w:val="24"/>
        </w:rPr>
        <w:t xml:space="preserve">'ı bu eğilimin simgesel ürünleridir; her ikisi de büyük sentezi özetlemeyi, müfredatlaştırmayı ve kurumsal eğitime uyarlamayı hedefler. </w:t>
      </w:r>
      <w:r>
        <w:rPr>
          <w:rStyle w:val="FootnoteReference"/>
        </w:rPr>
        <w:footnoteReference w:id="61"/>
      </w:r>
      <w:r>
        <w:rPr>
          <w:rFonts w:ascii="Times New Roman" w:cs="Times New Roman" w:eastAsia="Times New Roman" w:hAnsi="Times New Roman"/>
          <w:sz w:val="24"/>
          <w:szCs w:val="24"/>
        </w:rPr>
        <w:t xml:space="preserve"> Kelamın bu kurumsallaşma sürecinde teorik canlılığını yitirmesi bir "gerileme" olarak değil, aksine özgül bir tarihsel mantığın sonucu olarak değerlendirilmelidir: Spekülatif imkânların neredeyse tüketildiği bir alanda yenilik, ancak epistemolojik çerçevenin kendisini sorgulamakla mümkün olabilirdi ki bu sorgulama modernite öncesinde gerçekleşmedi.</w:t>
      </w:r>
    </w:p>
    <w:p>
      <w:pPr>
        <w:spacing w:after="120" w:line="360"/>
        <w:ind w:firstLine="720"/>
      </w:pPr>
      <w:r>
        <w:rPr>
          <w:rFonts w:ascii="Times New Roman" w:cs="Times New Roman" w:eastAsia="Times New Roman" w:hAnsi="Times New Roman"/>
          <w:sz w:val="24"/>
          <w:szCs w:val="24"/>
        </w:rPr>
        <w:t xml:space="preserve">Bu bölüm boyunca izlenen süreç, kelamın Mu'tezile ile başlayan özgüvenli kuruluş döneminden Gazzâlî ile birlikte felsefeye yönelik eleştirel hesaplaşmaya, ardından Râzî'de felsefi-kelamî sentezin doruk noktasına ve son olarak kurumsallaşmış bir duraksama evresine geçişini ortaya koymuştur. Klasik kelamın bu büyük yolculuğu, geleneğin kendi iç enerjisiyle ulaşabileceği sınırları göstermekte; fakat aynı zamanda henüz sorulmamış soruların potansiyelini de barındırmaktadır. Bir sonraki bölümde ele alınacak olan modern dönem kelâmı, işte bu birikimi miras alırken tümüyle farklı bir epistemik iklim içinde —Avrupa'nın felsefi ve bilimsel meydan okumasıyla yüzleşerek— yeniden düşünmek zorunda kalacaktır.</w:t>
      </w:r>
    </w:p>
    <w:p>
      <w:r>
        <w:br w:type="page"/>
      </w:r>
    </w:p>
    <w:p>
      <w:pPr>
        <w:pStyle w:val="Heading1"/>
        <w:spacing w:after="300"/>
      </w:pPr>
      <w:r>
        <w:rPr>
          <w:rFonts w:ascii="Times New Roman" w:cs="Times New Roman" w:eastAsia="Times New Roman" w:hAnsi="Times New Roman"/>
          <w:b/>
          <w:bCs/>
          <w:color w:val="000000"/>
          <w:sz w:val="32"/>
          <w:szCs w:val="32"/>
        </w:rPr>
        <w:t xml:space="preserve">5. Bölüm: Modern Çağda Kelam: Yeniden Doğuş mu?</w:t>
      </w:r>
    </w:p>
    <w:p>
      <w:pPr>
        <w:pStyle w:val="Heading2"/>
        <w:spacing w:after="200" w:before="200"/>
      </w:pPr>
      <w:r>
        <w:rPr>
          <w:rFonts w:ascii="Times New Roman" w:cs="Times New Roman" w:eastAsia="Times New Roman" w:hAnsi="Times New Roman"/>
          <w:b/>
          <w:bCs/>
          <w:color w:val="000000"/>
          <w:sz w:val="28"/>
          <w:szCs w:val="28"/>
        </w:rPr>
        <w:t xml:space="preserve">Modern Kelamın Soruları</w:t>
      </w:r>
    </w:p>
    <w:p>
      <w:pPr>
        <w:pStyle w:val="Heading3"/>
        <w:spacing w:after="100" w:before="150"/>
      </w:pPr>
      <w:r>
        <w:rPr>
          <w:rFonts w:ascii="Times New Roman" w:cs="Times New Roman" w:eastAsia="Times New Roman" w:hAnsi="Times New Roman"/>
          <w:b/>
          <w:bCs/>
          <w:color w:val="000000"/>
          <w:sz w:val="26"/>
          <w:szCs w:val="26"/>
        </w:rPr>
        <w:t xml:space="preserve">Modernite Karşısında Kelam</w:t>
      </w:r>
    </w:p>
    <w:p>
      <w:pPr>
        <w:spacing w:after="120" w:line="360"/>
        <w:ind w:firstLine="720"/>
      </w:pPr>
      <w:r>
        <w:rPr>
          <w:rFonts w:ascii="Times New Roman" w:cs="Times New Roman" w:eastAsia="Times New Roman" w:hAnsi="Times New Roman"/>
          <w:sz w:val="24"/>
          <w:szCs w:val="24"/>
        </w:rPr>
        <w:t xml:space="preserve">Klasik dönem kelamının felsefeyle kurduğu gerilimli ilişki — onunla yüzleşme, zaman zaman uzlaşma, bazen de temkinli bir mesafe alma — modern çağa gelindiğinde bambaşka bir boyut kazanır. Artık sahneye çıkan meydan okuma, Aristocu kozmoloji ya da Yeni-Eflatuncu sudur anlayışı değil; evrim kuramı, pozitivist bilim felsefesi ve ulus-devlet ideolojisidir. Bu beşinci bölüm, kelamın moderniteyle yüzleşme biçimlerini, bu yüzleşmenin doğurduğu "yeni kelam" arayışlarını ve nihayetinde disiplinin günümüzde hâlâ canlı bir entelektüel faaliyet olup olmadığı sorusunu ele almaktadır. Bölüm, hem bir değerlendirme hem de açık uçlu bir davet niteliği taşımaktadır: Kelamın geçmişini anlamak, onun geleceğini düşünmek için zorunlu bir zemin sunar.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On dokuzuncu yüzyılın ikinci yarısından itibaren İslam dünyasının entelektüel coğrafyasını derinden sarsan bir dizi gelişme, kelamı hem savunmacı hem de yenilikçi bir tutum almaya zorlamıştır. Sömürgeciliğin siyasi baskısı, Darwinci evrim kuramının biyolojik ve felsefi sonuçları, Auguste Comte'un pozitivizmiyle şekillenen bilim anlayışı ve laikleşme süreçlerinin din-devlet ilişkisine dair köklü dönüşümleri — tüm bu etkenler, klasik kelamın ontoloji ve nübüvvet ekseninde kurulmuş argüman yapısını yalnızca gözden geçirilmesi değil, yeniden inşa edilmesi gereken bir bina gibi ortaya koymuştur.</w:t>
      </w:r>
      <w:r>
        <w:rPr>
          <w:rStyle w:val="FootnoteReference"/>
        </w:rPr>
        <w:footnoteReference w:id="62"/>
      </w:r>
      <w:r>
        <w:rPr>
          <w:rFonts w:ascii="Times New Roman" w:cs="Times New Roman" w:eastAsia="Times New Roman" w:hAnsi="Times New Roman"/>
          <w:sz w:val="24"/>
          <w:szCs w:val="24"/>
        </w:rPr>
        <w:t xml:space="preserve"> Klasik kelam, Allah'ın varlığını ve birliğini ispat ederken hudûs ve imkân gibi argümanları evrenin tarihselliğine dayandırıyordu; oysa modern kozmoloji ve evrimsel biyoloji, "başlangıç" ve "tasarım" kavramlarını radikal biçimde yeniden çerçevelemekteydi. Bu durum, kelamcıları hem yeni kavramsal araçlar geliştirmeye hem de geleneksel argümanlarını yeni epistemik koşullara uyarlamaya davet eden bir eşik oluşturmuştur.</w:t>
      </w:r>
    </w:p>
    <w:p>
      <w:pPr>
        <w:spacing w:after="120" w:line="360"/>
        <w:ind w:firstLine="720"/>
      </w:pPr>
      <w:r>
        <w:rPr>
          <w:rFonts w:ascii="Times New Roman" w:cs="Times New Roman" w:eastAsia="Times New Roman" w:hAnsi="Times New Roman"/>
          <w:sz w:val="24"/>
          <w:szCs w:val="24"/>
        </w:rPr>
        <w:t xml:space="preserve">Bu eşikte öne çıkan iki isim — Cemâleddin el-Afgânî (ö. 1897) ve Muhammed Abduh (ö. 1905) — modern kelamın belki de en özgün kurucu figürleri olarak değerlendirilebilir. Afgânî, materyalizme ve doğalcı evrim yorumlarına karşı kaleme aldığı </w:t>
      </w:r>
      <w:r>
        <w:rPr>
          <w:rFonts w:ascii="Times New Roman" w:cs="Times New Roman" w:eastAsia="Times New Roman" w:hAnsi="Times New Roman"/>
          <w:i/>
          <w:iCs/>
          <w:sz w:val="24"/>
          <w:szCs w:val="24"/>
        </w:rPr>
        <w:t xml:space="preserve">Redd-i Dehriyyûn</w:t>
      </w:r>
      <w:r>
        <w:rPr>
          <w:rFonts w:ascii="Times New Roman" w:cs="Times New Roman" w:eastAsia="Times New Roman" w:hAnsi="Times New Roman"/>
          <w:sz w:val="24"/>
          <w:szCs w:val="24"/>
        </w:rPr>
        <w:t xml:space="preserve"> adlı eserinde, pozitivist felsefeyi yalnızca teolojik değil, aynı zamanda ahlaki ve siyasi gerekçelerle eleştirmiş; dinin toplumsal işlevini öne çıkararak kelamı apologetik bir söylem olarak yeniden konumlandırmıştır.</w:t>
      </w:r>
      <w:r>
        <w:rPr>
          <w:rStyle w:val="FootnoteReference"/>
        </w:rPr>
        <w:footnoteReference w:id="63"/>
      </w:r>
      <w:r>
        <w:rPr>
          <w:rFonts w:ascii="Times New Roman" w:cs="Times New Roman" w:eastAsia="Times New Roman" w:hAnsi="Times New Roman"/>
          <w:sz w:val="24"/>
          <w:szCs w:val="24"/>
        </w:rPr>
        <w:t xml:space="preserve"> Abduh ise daha sistematik bir yol izlemiş, </w:t>
      </w:r>
      <w:r>
        <w:rPr>
          <w:rFonts w:ascii="Times New Roman" w:cs="Times New Roman" w:eastAsia="Times New Roman" w:hAnsi="Times New Roman"/>
          <w:i/>
          <w:iCs/>
          <w:sz w:val="24"/>
          <w:szCs w:val="24"/>
        </w:rPr>
        <w:t xml:space="preserve">Risâletü't-Tevhîd</w:t>
      </w:r>
      <w:r>
        <w:rPr>
          <w:rFonts w:ascii="Times New Roman" w:cs="Times New Roman" w:eastAsia="Times New Roman" w:hAnsi="Times New Roman"/>
          <w:sz w:val="24"/>
          <w:szCs w:val="24"/>
        </w:rPr>
        <w:t xml:space="preserve"> adlı eserinde akıl ile vahiy arasındaki gerilimi çözmek için kelamın klasik kategorilerini modernist bir çerçevede yeniden yorumlamıştır. Abduh'a göre İslam'ın akılcı özü, modern bilimle çelişmez; aksine bilim, tevhid inancının evrendeki tecellilerini daha açık seçik kılmaktadır. Bu yaklaşım, kelamın artık yalnızca iç-İslami tartışmaları değil, İslam ile modernitenin buluştuğu arayüzü de konu edinmesi gerektiğinin açık bir ilanı sayılabilir.</w:t>
      </w:r>
      <w:r>
        <w:rPr>
          <w:rStyle w:val="FootnoteReference"/>
        </w:rPr>
        <w:footnoteReference w:id="64"/>
      </w:r>
    </w:p>
    <w:p>
      <w:pPr>
        <w:spacing w:after="120" w:line="360"/>
        <w:ind w:firstLine="720"/>
      </w:pPr>
      <w:r>
        <w:rPr>
          <w:rFonts w:ascii="Times New Roman" w:cs="Times New Roman" w:eastAsia="Times New Roman" w:hAnsi="Times New Roman"/>
          <w:sz w:val="24"/>
          <w:szCs w:val="24"/>
        </w:rPr>
        <w:t xml:space="preserve">Şüphesiz bu yenilikçi girişimler beraberinde ciddi metodolojik gerilimler de getirmiştir. Kelam, klasik dönemde Aristotelesçi mantık ve İslam fıkhının kavramsal dünyasıyla diyalog içinde şekillenirken, modern dönemde artık hem pozitif bilimlerin dilini hem de Batı felsefesinin epistemolojik sorularını konuşmak durumundadır. Bu çoğul diyalog, disiplinin kimliğini güçlendiren bir genişleme mi yoksa onu eritme tehlikesi taşıyan bir aşınma mı sorusunu kaçınılmaz kılmaktadır. Ne var ki sorunun kendisi, kelamın hâlâ düşünmeye değer bir alan olduğunun en güçlü kanıtıdır; zira canlı olan her entelektüel gelenek, kendi sınırlarını tartışmaktan çekinmez.</w:t>
      </w:r>
    </w:p>
    <w:p>
      <w:pPr>
        <w:spacing w:after="120" w:line="360"/>
        <w:ind w:firstLine="720"/>
      </w:pPr>
      <w:r>
        <w:rPr>
          <w:rFonts w:ascii="Times New Roman" w:cs="Times New Roman" w:eastAsia="Times New Roman" w:hAnsi="Times New Roman"/>
          <w:sz w:val="24"/>
          <w:szCs w:val="24"/>
        </w:rPr>
        <w:t xml:space="preserve">Tüm bu gerilim ve dönüşümleri göz önünde bulundurduğumuzda, kitabın izlediği yol bir bütün olarak şunu ortaya koymaktadır: Kelam, yüzyıllar boyunca kendisini hem koruyarak hem dönüştürerek var etmiş bir düşünce geleneğidir. Gazâlî'nin felsefeye yönelttiği eleştiriden İbn Rüşd'ün metodolojik yanıtına, Mâtürîdî'nin iman anlayışından Abduh'un modernist tevhid yorumuna uzanan bu geniş yay, statik bir dogmanın değil, dinamik bir soruşturmanın tarihidir. Kelam, bugün de evrenin kökenini, ahlaki sorumluluğu, dini otoritenin sınırlarını ve insan aklının vahiy karşısındaki konumunu sormaya devam etmektedir. Belki de en doğru kapanış cümlesi şu olacaktır: Kelam, asırlar önce sorulmuş soruların arşivi değil, bugün de süren bir konuşmanın adıdır — ve bu konuşma, dinleyecek kulak buldukça devam edecektir.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Schmidtke, Sabine. "Islamic Theology." Oxford Handbooks Online. Oxford: Oxford University Press, 2016, s. 1–2.</w:t>
      </w:r>
    </w:p>
  </w:footnote>
  <w:footnote w:id="2">
    <w:p>
      <w:r>
        <w:rPr>
          <w:rStyle w:val="FootnoteReference"/>
        </w:rPr>
        <w:footnoteRef/>
      </w:r>
      <w:r>
        <w:rPr>
          <w:rFonts w:ascii="Times New Roman" w:cs="Times New Roman" w:eastAsia="Times New Roman" w:hAnsi="Times New Roman"/>
          <w:sz w:val="20"/>
          <w:szCs w:val="20"/>
        </w:rPr>
        <w:t xml:space="preserve">Schmidtke, "Islamic Theology," s. 2–3.</w:t>
      </w:r>
    </w:p>
  </w:footnote>
  <w:footnote w:id="3">
    <w:p>
      <w:r>
        <w:rPr>
          <w:rStyle w:val="FootnoteReference"/>
        </w:rPr>
        <w:footnoteRef/>
      </w:r>
      <w:r>
        <w:rPr>
          <w:rFonts w:ascii="Times New Roman" w:cs="Times New Roman" w:eastAsia="Times New Roman" w:hAnsi="Times New Roman"/>
          <w:sz w:val="20"/>
          <w:szCs w:val="20"/>
        </w:rPr>
        <w:t xml:space="preserve">Schmidtke, "Islamic Theology," s. 1.</w:t>
      </w:r>
    </w:p>
  </w:footnote>
  <w:footnote w:id="4">
    <w:p>
      <w:r>
        <w:rPr>
          <w:rStyle w:val="FootnoteReference"/>
        </w:rPr>
        <w:footnoteRef/>
      </w:r>
      <w:r>
        <w:rPr>
          <w:rFonts w:ascii="Times New Roman" w:cs="Times New Roman" w:eastAsia="Times New Roman" w:hAnsi="Times New Roman"/>
          <w:sz w:val="20"/>
          <w:szCs w:val="20"/>
        </w:rPr>
        <w:t xml:space="preserve">Taftazânî, Sa'düddin. Şerhu'l-Akāid. Kahire: Mektebetü's-Sekāfe ed-Dîniyye, 2000, s. 4.</w:t>
      </w:r>
    </w:p>
  </w:footnote>
  <w:footnote w:id="5">
    <w:p>
      <w:r>
        <w:rPr>
          <w:rStyle w:val="FootnoteReference"/>
        </w:rPr>
        <w:footnoteRef/>
      </w:r>
      <w:r>
        <w:rPr>
          <w:rFonts w:ascii="Times New Roman" w:cs="Times New Roman" w:eastAsia="Times New Roman" w:hAnsi="Times New Roman"/>
          <w:sz w:val="20"/>
          <w:szCs w:val="20"/>
        </w:rPr>
        <w:t xml:space="preserve">Cüveynî, İmâmü'l-Harameyn. el-İrşâd ilâ Kavâtii'l-Edille. Kahire: Mektebetü's-Sekāfe ed-Dîniyye, 2009, s. 6-7.</w:t>
      </w:r>
    </w:p>
  </w:footnote>
  <w:footnote w:id="6">
    <w:p>
      <w:r>
        <w:rPr>
          <w:rStyle w:val="FootnoteReference"/>
        </w:rPr>
        <w:footnoteRef/>
      </w:r>
      <w:r>
        <w:rPr>
          <w:rFonts w:ascii="Times New Roman" w:cs="Times New Roman" w:eastAsia="Times New Roman" w:hAnsi="Times New Roman"/>
          <w:sz w:val="20"/>
          <w:szCs w:val="20"/>
        </w:rPr>
        <w:t xml:space="preserve">İbn Haldûn, Abdurrahman. Mukaddime. thk. Dervîş el-Cüveydî. Beyrut: el-Mektebetü'l-Asriyye, 2005, s. 465.</w:t>
      </w:r>
    </w:p>
  </w:footnote>
  <w:footnote w:id="7">
    <w:p>
      <w:r>
        <w:rPr>
          <w:rStyle w:val="FootnoteReference"/>
        </w:rPr>
        <w:footnoteRef/>
      </w:r>
      <w:r>
        <w:rPr>
          <w:rFonts w:ascii="Times New Roman" w:cs="Times New Roman" w:eastAsia="Times New Roman" w:hAnsi="Times New Roman"/>
          <w:sz w:val="20"/>
          <w:szCs w:val="20"/>
        </w:rPr>
        <w:t xml:space="preserve">Gazzâlî, Ebû Hâmid. Tehâfütü'l-Felâsife. thk. Süleyman Dünya. Kahire: Dârü'l-Maârif, 1966, s. 67-68.</w:t>
      </w:r>
    </w:p>
  </w:footnote>
  <w:footnote w:id="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9-10.</w:t>
      </w:r>
    </w:p>
  </w:footnote>
  <w:footnote w:id="9">
    <w:p>
      <w:r>
        <w:rPr>
          <w:rStyle w:val="FootnoteReference"/>
        </w:rPr>
        <w:footnoteRef/>
      </w:r>
      <w:r>
        <w:rPr>
          <w:rFonts w:ascii="Times New Roman" w:cs="Times New Roman" w:eastAsia="Times New Roman" w:hAnsi="Times New Roman"/>
          <w:sz w:val="20"/>
          <w:szCs w:val="20"/>
        </w:rPr>
        <w:t xml:space="preserve">Watt, Formative Period, 11-13.</w:t>
      </w:r>
    </w:p>
  </w:footnote>
  <w:footnote w:id="10">
    <w:p>
      <w:r>
        <w:rPr>
          <w:rStyle w:val="FootnoteReference"/>
        </w:rPr>
        <w:footnoteRef/>
      </w:r>
      <w:r>
        <w:rPr>
          <w:rFonts w:ascii="Times New Roman" w:cs="Times New Roman" w:eastAsia="Times New Roman" w:hAnsi="Times New Roman"/>
          <w:sz w:val="20"/>
          <w:szCs w:val="20"/>
        </w:rPr>
        <w:t xml:space="preserve">Watt, Formative Period, 16-18.</w:t>
      </w:r>
    </w:p>
  </w:footnote>
  <w:footnote w:id="11">
    <w:p>
      <w:r>
        <w:rPr>
          <w:rStyle w:val="FootnoteReference"/>
        </w:rPr>
        <w:footnoteRef/>
      </w:r>
      <w:r>
        <w:rPr>
          <w:rFonts w:ascii="Times New Roman" w:cs="Times New Roman" w:eastAsia="Times New Roman" w:hAnsi="Times New Roman"/>
          <w:sz w:val="20"/>
          <w:szCs w:val="20"/>
        </w:rPr>
        <w:t xml:space="preserve">Watt, Formative Period, 119-121.</w:t>
      </w:r>
    </w:p>
  </w:footnote>
  <w:footnote w:id="12">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Qādī l-Quḍāt Abū l-Ḥasan 'Abd al-Jabbār ibn Aḥmad al-Hamadānī. Leiden: Brill, 1976, 4-7.</w:t>
      </w:r>
    </w:p>
  </w:footnote>
  <w:footnote w:id="13">
    <w:p>
      <w:r>
        <w:rPr>
          <w:rStyle w:val="FootnoteReference"/>
        </w:rPr>
        <w:footnoteRef/>
      </w:r>
      <w:r>
        <w:rPr>
          <w:rFonts w:ascii="Times New Roman" w:cs="Times New Roman" w:eastAsia="Times New Roman" w:hAnsi="Times New Roman"/>
          <w:sz w:val="20"/>
          <w:szCs w:val="20"/>
        </w:rPr>
        <w:t xml:space="preserve">Peters, God's Created Speech, 31-38.</w:t>
      </w:r>
    </w:p>
  </w:footnote>
  <w:footnote w:id="14">
    <w:p>
      <w:r>
        <w:rPr>
          <w:rStyle w:val="FootnoteReference"/>
        </w:rPr>
        <w:footnoteRef/>
      </w:r>
      <w:r>
        <w:rPr>
          <w:rFonts w:ascii="Times New Roman" w:cs="Times New Roman" w:eastAsia="Times New Roman" w:hAnsi="Times New Roman"/>
          <w:sz w:val="20"/>
          <w:szCs w:val="20"/>
        </w:rPr>
        <w:t xml:space="preserve">Peters, God's Created Speech, 42-49.</w:t>
      </w:r>
    </w:p>
  </w:footnote>
  <w:footnote w:id="15">
    <w:p>
      <w:r>
        <w:rPr>
          <w:rStyle w:val="FootnoteReference"/>
        </w:rPr>
        <w:footnoteRef/>
      </w:r>
      <w:r>
        <w:rPr>
          <w:rFonts w:ascii="Times New Roman" w:cs="Times New Roman" w:eastAsia="Times New Roman" w:hAnsi="Times New Roman"/>
          <w:sz w:val="20"/>
          <w:szCs w:val="20"/>
        </w:rPr>
        <w:t xml:space="preserve">Peters, God's Created Speech, 50-56.</w:t>
      </w:r>
    </w:p>
  </w:footnote>
  <w:footnote w:id="16">
    <w:p>
      <w:r>
        <w:rPr>
          <w:rStyle w:val="FootnoteReference"/>
        </w:rPr>
        <w:footnoteRef/>
      </w:r>
      <w:r>
        <w:rPr>
          <w:rFonts w:ascii="Times New Roman" w:cs="Times New Roman" w:eastAsia="Times New Roman" w:hAnsi="Times New Roman"/>
          <w:sz w:val="20"/>
          <w:szCs w:val="20"/>
        </w:rPr>
        <w:t xml:space="preserve">Patton, Walter Melville. </w:t>
      </w:r>
      <w:r>
        <w:rPr>
          <w:rFonts w:ascii="Times New Roman" w:cs="Times New Roman" w:eastAsia="Times New Roman" w:hAnsi="Times New Roman"/>
          <w:i/>
          <w:iCs/>
          <w:sz w:val="20"/>
          <w:szCs w:val="20"/>
        </w:rPr>
        <w:t xml:space="preserve">Ahmed ibn Hanbal and the Mihna</w:t>
      </w:r>
      <w:r>
        <w:rPr>
          <w:rFonts w:ascii="Times New Roman" w:cs="Times New Roman" w:eastAsia="Times New Roman" w:hAnsi="Times New Roman"/>
          <w:sz w:val="20"/>
          <w:szCs w:val="20"/>
        </w:rPr>
        <w:t xml:space="preserve">. Leiden: Brill, 1897, s. 3–10.</w:t>
      </w:r>
    </w:p>
  </w:footnote>
  <w:footnote w:id="17">
    <w:p>
      <w:r>
        <w:rPr>
          <w:rStyle w:val="FootnoteReference"/>
        </w:rPr>
        <w:footnoteRef/>
      </w:r>
      <w:r>
        <w:rPr>
          <w:rFonts w:ascii="Times New Roman" w:cs="Times New Roman" w:eastAsia="Times New Roman" w:hAnsi="Times New Roman"/>
          <w:sz w:val="20"/>
          <w:szCs w:val="20"/>
        </w:rPr>
        <w:t xml:space="preserve">Cooperson, Michael. </w:t>
      </w:r>
      <w:r>
        <w:rPr>
          <w:rFonts w:ascii="Times New Roman" w:cs="Times New Roman" w:eastAsia="Times New Roman" w:hAnsi="Times New Roman"/>
          <w:i/>
          <w:iCs/>
          <w:sz w:val="20"/>
          <w:szCs w:val="20"/>
        </w:rPr>
        <w:t xml:space="preserve">Al-Ma'mun</w:t>
      </w:r>
      <w:r>
        <w:rPr>
          <w:rFonts w:ascii="Times New Roman" w:cs="Times New Roman" w:eastAsia="Times New Roman" w:hAnsi="Times New Roman"/>
          <w:sz w:val="20"/>
          <w:szCs w:val="20"/>
        </w:rPr>
        <w:t xml:space="preserve">. Oxford: Oneworld, 2005, s. 89–105.</w:t>
      </w:r>
    </w:p>
  </w:footnote>
  <w:footnote w:id="18">
    <w:p>
      <w:r>
        <w:rPr>
          <w:rStyle w:val="FootnoteReference"/>
        </w:rPr>
        <w:footnoteRef/>
      </w:r>
      <w:r>
        <w:rPr>
          <w:rFonts w:ascii="Times New Roman" w:cs="Times New Roman" w:eastAsia="Times New Roman" w:hAnsi="Times New Roman"/>
          <w:sz w:val="20"/>
          <w:szCs w:val="20"/>
        </w:rPr>
        <w:t xml:space="preserve">Watt, William Montgomery. </w:t>
      </w:r>
      <w:r>
        <w:rPr>
          <w:rFonts w:ascii="Times New Roman" w:cs="Times New Roman" w:eastAsia="Times New Roman" w:hAnsi="Times New Roman"/>
          <w:i/>
          <w:iCs/>
          <w:sz w:val="20"/>
          <w:szCs w:val="20"/>
        </w:rPr>
        <w:t xml:space="preserve">The Formative Period of Islamic Thought</w:t>
      </w:r>
      <w:r>
        <w:rPr>
          <w:rFonts w:ascii="Times New Roman" w:cs="Times New Roman" w:eastAsia="Times New Roman" w:hAnsi="Times New Roman"/>
          <w:sz w:val="20"/>
          <w:szCs w:val="20"/>
        </w:rPr>
        <w:t xml:space="preserve">. Edinburgh: Edinburgh University Press, 1973, s. 236–242.</w:t>
      </w:r>
    </w:p>
  </w:footnote>
  <w:footnote w:id="19">
    <w:p>
      <w:r>
        <w:rPr>
          <w:rStyle w:val="FootnoteReference"/>
        </w:rPr>
        <w:footnoteRef/>
      </w:r>
      <w:r>
        <w:rPr>
          <w:rFonts w:ascii="Times New Roman" w:cs="Times New Roman" w:eastAsia="Times New Roman" w:hAnsi="Times New Roman"/>
          <w:sz w:val="20"/>
          <w:szCs w:val="20"/>
        </w:rPr>
        <w:t xml:space="preserve">Cooperson, </w:t>
      </w:r>
      <w:r>
        <w:rPr>
          <w:rFonts w:ascii="Times New Roman" w:cs="Times New Roman" w:eastAsia="Times New Roman" w:hAnsi="Times New Roman"/>
          <w:i/>
          <w:iCs/>
          <w:sz w:val="20"/>
          <w:szCs w:val="20"/>
        </w:rPr>
        <w:t xml:space="preserve">Al-Ma'mun</w:t>
      </w:r>
      <w:r>
        <w:rPr>
          <w:rFonts w:ascii="Times New Roman" w:cs="Times New Roman" w:eastAsia="Times New Roman" w:hAnsi="Times New Roman"/>
          <w:sz w:val="20"/>
          <w:szCs w:val="20"/>
        </w:rPr>
        <w:t xml:space="preserve">, s. 107–112.</w:t>
      </w:r>
    </w:p>
  </w:footnote>
  <w:footnote w:id="20">
    <w:p>
      <w:r>
        <w:rPr>
          <w:rStyle w:val="FootnoteReference"/>
        </w:rPr>
        <w:footnoteRef/>
      </w:r>
      <w:r>
        <w:rPr>
          <w:rFonts w:ascii="Times New Roman" w:cs="Times New Roman" w:eastAsia="Times New Roman" w:hAnsi="Times New Roman"/>
          <w:sz w:val="20"/>
          <w:szCs w:val="20"/>
        </w:rPr>
        <w:t xml:space="preserve">Ibn al-Jawzī, </w:t>
      </w:r>
      <w:r>
        <w:rPr>
          <w:rFonts w:ascii="Times New Roman" w:cs="Times New Roman" w:eastAsia="Times New Roman" w:hAnsi="Times New Roman"/>
          <w:i/>
          <w:iCs/>
          <w:sz w:val="20"/>
          <w:szCs w:val="20"/>
        </w:rPr>
        <w:t xml:space="preserve">Manāqib al-Imām Aḥmad ibn Ḥanbal</w:t>
      </w:r>
      <w:r>
        <w:rPr>
          <w:rFonts w:ascii="Times New Roman" w:cs="Times New Roman" w:eastAsia="Times New Roman" w:hAnsi="Times New Roman"/>
          <w:sz w:val="20"/>
          <w:szCs w:val="20"/>
        </w:rPr>
        <w:t xml:space="preserve">, ed. Abdullah el-Türkî. Riyad: Dâru Hicr, 1988, s. 298–315.</w:t>
      </w:r>
    </w:p>
  </w:footnote>
  <w:footnote w:id="21">
    <w:p>
      <w:r>
        <w:rPr>
          <w:rStyle w:val="FootnoteReference"/>
        </w:rPr>
        <w:footnoteRef/>
      </w:r>
      <w:r>
        <w:rPr>
          <w:rFonts w:ascii="Times New Roman" w:cs="Times New Roman" w:eastAsia="Times New Roman" w:hAnsi="Times New Roman"/>
          <w:sz w:val="20"/>
          <w:szCs w:val="20"/>
        </w:rPr>
        <w:t xml:space="preserve">Melchert, Christopher. </w:t>
      </w:r>
      <w:r>
        <w:rPr>
          <w:rFonts w:ascii="Times New Roman" w:cs="Times New Roman" w:eastAsia="Times New Roman" w:hAnsi="Times New Roman"/>
          <w:i/>
          <w:iCs/>
          <w:sz w:val="20"/>
          <w:szCs w:val="20"/>
        </w:rPr>
        <w:t xml:space="preserve">Ahmad ibn Hanbal</w:t>
      </w:r>
      <w:r>
        <w:rPr>
          <w:rFonts w:ascii="Times New Roman" w:cs="Times New Roman" w:eastAsia="Times New Roman" w:hAnsi="Times New Roman"/>
          <w:sz w:val="20"/>
          <w:szCs w:val="20"/>
        </w:rPr>
        <w:t xml:space="preserve">. Oxford: Oneworld, 2006, s. 35–51.</w:t>
      </w:r>
    </w:p>
  </w:footnote>
  <w:footnote w:id="22">
    <w:p>
      <w:r>
        <w:rPr>
          <w:rStyle w:val="FootnoteReference"/>
        </w:rPr>
        <w:footnoteRef/>
      </w:r>
      <w:r>
        <w:rPr>
          <w:rFonts w:ascii="Times New Roman" w:cs="Times New Roman" w:eastAsia="Times New Roman" w:hAnsi="Times New Roman"/>
          <w:sz w:val="20"/>
          <w:szCs w:val="20"/>
        </w:rPr>
        <w:t xml:space="preserve">Patton, </w:t>
      </w:r>
      <w:r>
        <w:rPr>
          <w:rFonts w:ascii="Times New Roman" w:cs="Times New Roman" w:eastAsia="Times New Roman" w:hAnsi="Times New Roman"/>
          <w:i/>
          <w:iCs/>
          <w:sz w:val="20"/>
          <w:szCs w:val="20"/>
        </w:rPr>
        <w:t xml:space="preserve">Ahmed ibn Hanbal and the Mihna</w:t>
      </w:r>
      <w:r>
        <w:rPr>
          <w:rFonts w:ascii="Times New Roman" w:cs="Times New Roman" w:eastAsia="Times New Roman" w:hAnsi="Times New Roman"/>
          <w:sz w:val="20"/>
          <w:szCs w:val="20"/>
        </w:rPr>
        <w:t xml:space="preserve">, s. 113–126.</w:t>
      </w:r>
    </w:p>
  </w:footnote>
  <w:footnote w:id="23">
    <w:p>
      <w:r>
        <w:rPr>
          <w:rStyle w:val="FootnoteReference"/>
        </w:rPr>
        <w:footnoteRef/>
      </w:r>
      <w:r>
        <w:rPr>
          <w:rFonts w:ascii="Times New Roman" w:cs="Times New Roman" w:eastAsia="Times New Roman" w:hAnsi="Times New Roman"/>
          <w:sz w:val="20"/>
          <w:szCs w:val="20"/>
        </w:rPr>
        <w:t xml:space="preserve">Watt, W. Montgomery. The Formative Period of Islamic Thought. Edinburgh: Edinburgh University Press, 1973, 119.</w:t>
      </w:r>
    </w:p>
  </w:footnote>
  <w:footnote w:id="24">
    <w:p>
      <w:r>
        <w:rPr>
          <w:rStyle w:val="FootnoteReference"/>
        </w:rPr>
        <w:footnoteRef/>
      </w:r>
      <w:r>
        <w:rPr>
          <w:rFonts w:ascii="Times New Roman" w:cs="Times New Roman" w:eastAsia="Times New Roman" w:hAnsi="Times New Roman"/>
          <w:sz w:val="20"/>
          <w:szCs w:val="20"/>
        </w:rPr>
        <w:t xml:space="preserve">Izutsu, Toshihiko. The Concept of Belief in Islamic Theology. Tokyo: Keio Institute of Cultural and Linguistic Studies, 1965, 1–2.</w:t>
      </w:r>
    </w:p>
  </w:footnote>
  <w:footnote w:id="25">
    <w:p>
      <w:r>
        <w:rPr>
          <w:rStyle w:val="FootnoteReference"/>
        </w:rPr>
        <w:footnoteRef/>
      </w:r>
      <w:r>
        <w:rPr>
          <w:rFonts w:ascii="Times New Roman" w:cs="Times New Roman" w:eastAsia="Times New Roman" w:hAnsi="Times New Roman"/>
          <w:sz w:val="20"/>
          <w:szCs w:val="20"/>
        </w:rPr>
        <w:t xml:space="preserve">Watt, Formative Period, 121–122.</w:t>
      </w:r>
    </w:p>
  </w:footnote>
  <w:footnote w:id="26">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1991–1997, Bd. I, 152–153.</w:t>
      </w:r>
    </w:p>
  </w:footnote>
  <w:footnote w:id="27">
    <w:p>
      <w:r>
        <w:rPr>
          <w:rStyle w:val="FootnoteReference"/>
        </w:rPr>
        <w:footnoteRef/>
      </w:r>
      <w:r>
        <w:rPr>
          <w:rFonts w:ascii="Times New Roman" w:cs="Times New Roman" w:eastAsia="Times New Roman" w:hAnsi="Times New Roman"/>
          <w:sz w:val="20"/>
          <w:szCs w:val="20"/>
        </w:rPr>
        <w:t xml:space="preserve">Madelung, Wilferd. "The Early Murji'a in Khurāsān and Transoxania and the Spread of Ḥanafism." Der Islam 59, no. 1 (1982): 32–39, 33.</w:t>
      </w:r>
    </w:p>
  </w:footnote>
  <w:footnote w:id="28">
    <w:p>
      <w:r>
        <w:rPr>
          <w:rStyle w:val="FootnoteReference"/>
        </w:rPr>
        <w:footnoteRef/>
      </w:r>
      <w:r>
        <w:rPr>
          <w:rFonts w:ascii="Times New Roman" w:cs="Times New Roman" w:eastAsia="Times New Roman" w:hAnsi="Times New Roman"/>
          <w:sz w:val="20"/>
          <w:szCs w:val="20"/>
        </w:rPr>
        <w:t xml:space="preserve">van Ess, Theologie und Gesellschaft, Bd. I, 154–155.</w:t>
      </w:r>
    </w:p>
  </w:footnote>
  <w:footnote w:id="29">
    <w:p>
      <w:r>
        <w:rPr>
          <w:rStyle w:val="FootnoteReference"/>
        </w:rPr>
        <w:footnoteRef/>
      </w:r>
      <w:r>
        <w:rPr>
          <w:rFonts w:ascii="Times New Roman" w:cs="Times New Roman" w:eastAsia="Times New Roman" w:hAnsi="Times New Roman"/>
          <w:sz w:val="20"/>
          <w:szCs w:val="20"/>
        </w:rPr>
        <w:t xml:space="preserve">Abu Hanifa, al-Fiqh al-Akbar, thrc. Waliullah Dihlawi. Haydarabad: Matba'at Majlis Da'irat al-Ma'arif al-Nizamiyya, 1321/1903, 2–4.</w:t>
      </w:r>
    </w:p>
  </w:footnote>
  <w:footnote w:id="30">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302–305.</w:t>
      </w:r>
    </w:p>
  </w:footnote>
  <w:footnote w:id="31">
    <w:p>
      <w:r>
        <w:rPr>
          <w:rStyle w:val="FootnoteReference"/>
        </w:rPr>
        <w:footnoteRef/>
      </w:r>
      <w:r>
        <w:rPr>
          <w:rFonts w:ascii="Times New Roman" w:cs="Times New Roman" w:eastAsia="Times New Roman" w:hAnsi="Times New Roman"/>
          <w:sz w:val="20"/>
          <w:szCs w:val="20"/>
        </w:rPr>
        <w:t xml:space="preserve">Wolfson, Harry Austryn. The Philosophy of the Kalam. Cambridge: Harvard University Press, 1976, 663.</w:t>
      </w:r>
    </w:p>
  </w:footnote>
  <w:footnote w:id="32">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 Cilt II, 492.</w:t>
      </w:r>
    </w:p>
  </w:footnote>
  <w:footnote w:id="33">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Qâdî l-Qudât Abû l-Hasan 'Abd al-Jabbâr. Leiden: Brill, 1976, 47.</w:t>
      </w:r>
    </w:p>
  </w:footnote>
  <w:footnote w:id="34">
    <w:p>
      <w:r>
        <w:rPr>
          <w:rStyle w:val="FootnoteReference"/>
        </w:rPr>
        <w:footnoteRef/>
      </w:r>
      <w:r>
        <w:rPr>
          <w:rFonts w:ascii="Times New Roman" w:cs="Times New Roman" w:eastAsia="Times New Roman" w:hAnsi="Times New Roman"/>
          <w:sz w:val="20"/>
          <w:szCs w:val="20"/>
        </w:rPr>
        <w:t xml:space="preserve">Watt, W. Montgomery. Free Will and Predestination in Early Islam. London: Luzac, 1948, 18.</w:t>
      </w:r>
    </w:p>
  </w:footnote>
  <w:footnote w:id="35">
    <w:p>
      <w:r>
        <w:rPr>
          <w:rStyle w:val="FootnoteReference"/>
        </w:rPr>
        <w:footnoteRef/>
      </w:r>
      <w:r>
        <w:rPr>
          <w:rFonts w:ascii="Times New Roman" w:cs="Times New Roman" w:eastAsia="Times New Roman" w:hAnsi="Times New Roman"/>
          <w:sz w:val="20"/>
          <w:szCs w:val="20"/>
        </w:rPr>
        <w:t xml:space="preserve">Gimaret, Daniel. Théories de l'acte humain en théologie musulmane. Paris: Vrin, 1980, 73.</w:t>
      </w:r>
    </w:p>
  </w:footnote>
  <w:footnote w:id="36">
    <w:p>
      <w:r>
        <w:rPr>
          <w:rStyle w:val="FootnoteReference"/>
        </w:rPr>
        <w:footnoteRef/>
      </w:r>
      <w:r>
        <w:rPr>
          <w:rFonts w:ascii="Times New Roman" w:cs="Times New Roman" w:eastAsia="Times New Roman" w:hAnsi="Times New Roman"/>
          <w:sz w:val="20"/>
          <w:szCs w:val="20"/>
        </w:rPr>
        <w:t xml:space="preserve">Wensinck, A.J. The Muslim Creed. Cambridge: Cambridge University Press, 1932, 68-69.</w:t>
      </w:r>
    </w:p>
  </w:footnote>
  <w:footnote w:id="37">
    <w:p>
      <w:r>
        <w:rPr>
          <w:rStyle w:val="FootnoteReference"/>
        </w:rPr>
        <w:footnoteRef/>
      </w:r>
      <w:r>
        <w:rPr>
          <w:rFonts w:ascii="Times New Roman" w:cs="Times New Roman" w:eastAsia="Times New Roman" w:hAnsi="Times New Roman"/>
          <w:sz w:val="20"/>
          <w:szCs w:val="20"/>
        </w:rPr>
        <w:t xml:space="preserve">Wensinck, The Muslim Creed, 72-73.</w:t>
      </w:r>
    </w:p>
  </w:footnote>
  <w:footnote w:id="38">
    <w:p>
      <w:r>
        <w:rPr>
          <w:rStyle w:val="FootnoteReference"/>
        </w:rPr>
        <w:footnoteRef/>
      </w:r>
      <w:r>
        <w:rPr>
          <w:rFonts w:ascii="Times New Roman" w:cs="Times New Roman" w:eastAsia="Times New Roman" w:hAnsi="Times New Roman"/>
          <w:sz w:val="20"/>
          <w:szCs w:val="20"/>
        </w:rPr>
        <w:t xml:space="preserve">Wensinck, The Muslim Creed, 83-85.</w:t>
      </w:r>
    </w:p>
  </w:footnote>
  <w:footnote w:id="39">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37.</w:t>
      </w:r>
    </w:p>
  </w:footnote>
  <w:footnote w:id="40">
    <w:p>
      <w:r>
        <w:rPr>
          <w:rStyle w:val="FootnoteReference"/>
        </w:rPr>
        <w:footnoteRef/>
      </w:r>
      <w:r>
        <w:rPr>
          <w:rFonts w:ascii="Times New Roman" w:cs="Times New Roman" w:eastAsia="Times New Roman" w:hAnsi="Times New Roman"/>
          <w:sz w:val="20"/>
          <w:szCs w:val="20"/>
        </w:rPr>
        <w:t xml:space="preserve">Rudolph, Al-Māturīdī, 112.</w:t>
      </w:r>
    </w:p>
  </w:footnote>
  <w:footnote w:id="41">
    <w:p>
      <w:r>
        <w:rPr>
          <w:rStyle w:val="FootnoteReference"/>
        </w:rPr>
        <w:footnoteRef/>
      </w:r>
      <w:r>
        <w:rPr>
          <w:rFonts w:ascii="Times New Roman" w:cs="Times New Roman" w:eastAsia="Times New Roman" w:hAnsi="Times New Roman"/>
          <w:sz w:val="20"/>
          <w:szCs w:val="20"/>
        </w:rPr>
        <w:t xml:space="preserve">Watt, W. Montgomery. Islamic Philosophy and Theology. Edinburgh: Edinburgh University Press, 1985, 66.</w:t>
      </w:r>
    </w:p>
  </w:footnote>
  <w:footnote w:id="42">
    <w:p>
      <w:r>
        <w:rPr>
          <w:rStyle w:val="FootnoteReference"/>
        </w:rPr>
        <w:footnoteRef/>
      </w:r>
      <w:r>
        <w:rPr>
          <w:rFonts w:ascii="Times New Roman" w:cs="Times New Roman" w:eastAsia="Times New Roman" w:hAnsi="Times New Roman"/>
          <w:sz w:val="20"/>
          <w:szCs w:val="20"/>
        </w:rPr>
        <w:t xml:space="preserve">Rudolph, Al-Māturīdī, 3.</w:t>
      </w:r>
    </w:p>
  </w:footnote>
  <w:footnote w:id="43">
    <w:p>
      <w:r>
        <w:rPr>
          <w:rStyle w:val="FootnoteReference"/>
        </w:rPr>
        <w:footnoteRef/>
      </w:r>
      <w:r>
        <w:rPr>
          <w:rFonts w:ascii="Times New Roman" w:cs="Times New Roman" w:eastAsia="Times New Roman" w:hAnsi="Times New Roman"/>
          <w:sz w:val="20"/>
          <w:szCs w:val="20"/>
        </w:rPr>
        <w:t xml:space="preserve">Matürîdî, Ebu Mansur. Kitâbü't-Tevhîd. thk. Bekir Topaloğlu – Muhammed Aruçi. Ankara: İSAM Yayınları, 2003, 248.</w:t>
      </w:r>
    </w:p>
  </w:footnote>
  <w:footnote w:id="44">
    <w:p>
      <w:r>
        <w:rPr>
          <w:rStyle w:val="FootnoteReference"/>
        </w:rPr>
        <w:footnoteRef/>
      </w:r>
      <w:r>
        <w:rPr>
          <w:rFonts w:ascii="Times New Roman" w:cs="Times New Roman" w:eastAsia="Times New Roman" w:hAnsi="Times New Roman"/>
          <w:sz w:val="20"/>
          <w:szCs w:val="20"/>
        </w:rPr>
        <w:t xml:space="preserve">Frank, Richard M. "Al-Ashʿarī's Conception of the Nature and Role of Speculative Reasoning in Theology." Proceedings of the VIth Congress of Arabic and Islamic Studies. Stockholm: Almqvist &amp; Wiksell, 1975, 138.</w:t>
      </w:r>
    </w:p>
  </w:footnote>
  <w:footnote w:id="45">
    <w:p>
      <w:r>
        <w:rPr>
          <w:rStyle w:val="FootnoteReference"/>
        </w:rPr>
        <w:footnoteRef/>
      </w:r>
      <w:r>
        <w:rPr>
          <w:rFonts w:ascii="Times New Roman" w:cs="Times New Roman" w:eastAsia="Times New Roman" w:hAnsi="Times New Roman"/>
          <w:sz w:val="20"/>
          <w:szCs w:val="20"/>
        </w:rPr>
        <w:t xml:space="preserve">Özen, Şükrü. "Matürîdî." Türkiye Diyanet Vakfı İslam Ansiklopedisi. İstanbul: TDV Yayınları, 2003, XXVIII, 150.</w:t>
      </w:r>
    </w:p>
  </w:footnote>
  <w:footnote w:id="46">
    <w:p>
      <w:r>
        <w:rPr>
          <w:rStyle w:val="FootnoteReference"/>
        </w:rPr>
        <w:footnoteRef/>
      </w:r>
      <w:r>
        <w:rPr>
          <w:rFonts w:ascii="Times New Roman" w:cs="Times New Roman" w:eastAsia="Times New Roman" w:hAnsi="Times New Roman"/>
          <w:sz w:val="20"/>
          <w:szCs w:val="20"/>
        </w:rPr>
        <w:t xml:space="preserve">Rudolph, Al-Māturīdī, 217.</w:t>
      </w:r>
    </w:p>
  </w:footnote>
  <w:footnote w:id="47">
    <w:p>
      <w:r>
        <w:rPr>
          <w:rStyle w:val="FootnoteReference"/>
        </w:rPr>
        <w:footnoteRef/>
      </w:r>
      <w:r>
        <w:rPr>
          <w:rFonts w:ascii="Times New Roman" w:cs="Times New Roman" w:eastAsia="Times New Roman" w:hAnsi="Times New Roman"/>
          <w:sz w:val="20"/>
          <w:szCs w:val="20"/>
        </w:rPr>
        <w:t xml:space="preserve">Berkey, Jonathan P. The Formation of Islam: Religion and Society in the Near and Middle East, 600–1800. Cambridge: Cambridge University Press, 2003, 157.</w:t>
      </w:r>
    </w:p>
  </w:footnote>
  <w:footnote w:id="48">
    <w:p>
      <w:r>
        <w:rPr>
          <w:rStyle w:val="FootnoteReference"/>
        </w:rPr>
        <w:footnoteRef/>
      </w:r>
      <w:r>
        <w:rPr>
          <w:rFonts w:ascii="Times New Roman" w:cs="Times New Roman" w:eastAsia="Times New Roman" w:hAnsi="Times New Roman"/>
          <w:sz w:val="20"/>
          <w:szCs w:val="20"/>
        </w:rPr>
        <w:t xml:space="preserve">Watt, Islamic Philosophy and Theology, 88.</w:t>
      </w:r>
    </w:p>
  </w:footnote>
  <w:footnote w:id="49">
    <w:p>
      <w:r>
        <w:rPr>
          <w:rStyle w:val="FootnoteReference"/>
        </w:rPr>
        <w:footnoteRef/>
      </w:r>
      <w:r>
        <w:rPr>
          <w:rFonts w:ascii="Times New Roman" w:cs="Times New Roman" w:eastAsia="Times New Roman" w:hAnsi="Times New Roman"/>
          <w:sz w:val="20"/>
          <w:szCs w:val="20"/>
        </w:rPr>
        <w:t xml:space="preserve">Gazzâlî, Ebû Hâmid Muhammed. </w:t>
      </w:r>
      <w:r>
        <w:rPr>
          <w:rFonts w:ascii="Times New Roman" w:cs="Times New Roman" w:eastAsia="Times New Roman" w:hAnsi="Times New Roman"/>
          <w:i/>
          <w:iCs/>
          <w:sz w:val="20"/>
          <w:szCs w:val="20"/>
        </w:rPr>
        <w:t xml:space="preserve">Tehâfütü'l-Felâsife</w:t>
      </w:r>
      <w:r>
        <w:rPr>
          <w:rFonts w:ascii="Times New Roman" w:cs="Times New Roman" w:eastAsia="Times New Roman" w:hAnsi="Times New Roman"/>
          <w:sz w:val="20"/>
          <w:szCs w:val="20"/>
        </w:rPr>
        <w:t xml:space="preserve">. thk. Süleyman Dünyâ. Kahire: Dâru'l-Maârif, 1966, 65-70.</w:t>
      </w:r>
    </w:p>
  </w:footnote>
  <w:footnote w:id="50">
    <w:p>
      <w:r>
        <w:rPr>
          <w:rStyle w:val="FootnoteReference"/>
        </w:rPr>
        <w:footnoteRef/>
      </w:r>
      <w:r>
        <w:rPr>
          <w:rFonts w:ascii="Times New Roman" w:cs="Times New Roman" w:eastAsia="Times New Roman" w:hAnsi="Times New Roman"/>
          <w:sz w:val="20"/>
          <w:szCs w:val="20"/>
        </w:rPr>
        <w:t xml:space="preserve">Gazzâlî, </w:t>
      </w:r>
      <w:r>
        <w:rPr>
          <w:rFonts w:ascii="Times New Roman" w:cs="Times New Roman" w:eastAsia="Times New Roman" w:hAnsi="Times New Roman"/>
          <w:i/>
          <w:iCs/>
          <w:sz w:val="20"/>
          <w:szCs w:val="20"/>
        </w:rPr>
        <w:t xml:space="preserve">Tehâfütü'l-Felâsife</w:t>
      </w:r>
      <w:r>
        <w:rPr>
          <w:rFonts w:ascii="Times New Roman" w:cs="Times New Roman" w:eastAsia="Times New Roman" w:hAnsi="Times New Roman"/>
          <w:sz w:val="20"/>
          <w:szCs w:val="20"/>
        </w:rPr>
        <w:t xml:space="preserve">, 78-82.</w:t>
      </w:r>
    </w:p>
  </w:footnote>
  <w:footnote w:id="51">
    <w:p>
      <w:r>
        <w:rPr>
          <w:rStyle w:val="FootnoteReference"/>
        </w:rPr>
        <w:footnoteRef/>
      </w:r>
      <w:r>
        <w:rPr>
          <w:rFonts w:ascii="Times New Roman" w:cs="Times New Roman" w:eastAsia="Times New Roman" w:hAnsi="Times New Roman"/>
          <w:sz w:val="20"/>
          <w:szCs w:val="20"/>
        </w:rPr>
        <w:t xml:space="preserve">Marmura, Michael E. "Ghazali's Attitude to the Secular Sciences and Logic." </w:t>
      </w:r>
      <w:r>
        <w:rPr>
          <w:rFonts w:ascii="Times New Roman" w:cs="Times New Roman" w:eastAsia="Times New Roman" w:hAnsi="Times New Roman"/>
          <w:i/>
          <w:iCs/>
          <w:sz w:val="20"/>
          <w:szCs w:val="20"/>
        </w:rPr>
        <w:t xml:space="preserve">Essays on Islamic Philosophy and Science</w:t>
      </w:r>
      <w:r>
        <w:rPr>
          <w:rFonts w:ascii="Times New Roman" w:cs="Times New Roman" w:eastAsia="Times New Roman" w:hAnsi="Times New Roman"/>
          <w:sz w:val="20"/>
          <w:szCs w:val="20"/>
        </w:rPr>
        <w:t xml:space="preserve"> içinde, ed. George F. Hourani. Albany: State University of New York Press, 1975, 100-111, s. 104.</w:t>
      </w:r>
    </w:p>
  </w:footnote>
  <w:footnote w:id="52">
    <w:p>
      <w:r>
        <w:rPr>
          <w:rStyle w:val="FootnoteReference"/>
        </w:rPr>
        <w:footnoteRef/>
      </w:r>
      <w:r>
        <w:rPr>
          <w:rFonts w:ascii="Times New Roman" w:cs="Times New Roman" w:eastAsia="Times New Roman" w:hAnsi="Times New Roman"/>
          <w:sz w:val="20"/>
          <w:szCs w:val="20"/>
        </w:rPr>
        <w:t xml:space="preserve">Griffel, Frank. </w:t>
      </w:r>
      <w:r>
        <w:rPr>
          <w:rFonts w:ascii="Times New Roman" w:cs="Times New Roman" w:eastAsia="Times New Roman" w:hAnsi="Times New Roman"/>
          <w:i/>
          <w:iCs/>
          <w:sz w:val="20"/>
          <w:szCs w:val="20"/>
        </w:rPr>
        <w:t xml:space="preserve">Al-Ghazālī's Philosophical Theology</w:t>
      </w:r>
      <w:r>
        <w:rPr>
          <w:rFonts w:ascii="Times New Roman" w:cs="Times New Roman" w:eastAsia="Times New Roman" w:hAnsi="Times New Roman"/>
          <w:sz w:val="20"/>
          <w:szCs w:val="20"/>
        </w:rPr>
        <w:t xml:space="preserve">. Oxford: Oxford University Press, 2009, 97-105.</w:t>
      </w:r>
    </w:p>
  </w:footnote>
  <w:footnote w:id="53">
    <w:p>
      <w:r>
        <w:rPr>
          <w:rStyle w:val="FootnoteReference"/>
        </w:rPr>
        <w:footnoteRef/>
      </w:r>
      <w:r>
        <w:rPr>
          <w:rFonts w:ascii="Times New Roman" w:cs="Times New Roman" w:eastAsia="Times New Roman" w:hAnsi="Times New Roman"/>
          <w:sz w:val="20"/>
          <w:szCs w:val="20"/>
        </w:rPr>
        <w:t xml:space="preserve">Gazzâlî, </w:t>
      </w:r>
      <w:r>
        <w:rPr>
          <w:rFonts w:ascii="Times New Roman" w:cs="Times New Roman" w:eastAsia="Times New Roman" w:hAnsi="Times New Roman"/>
          <w:i/>
          <w:iCs/>
          <w:sz w:val="20"/>
          <w:szCs w:val="20"/>
        </w:rPr>
        <w:t xml:space="preserve">Tehâfütü'l-Felâsife</w:t>
      </w:r>
      <w:r>
        <w:rPr>
          <w:rFonts w:ascii="Times New Roman" w:cs="Times New Roman" w:eastAsia="Times New Roman" w:hAnsi="Times New Roman"/>
          <w:sz w:val="20"/>
          <w:szCs w:val="20"/>
        </w:rPr>
        <w:t xml:space="preserve">, 265-270; Watt, William Montgomery. </w:t>
      </w:r>
      <w:r>
        <w:rPr>
          <w:rFonts w:ascii="Times New Roman" w:cs="Times New Roman" w:eastAsia="Times New Roman" w:hAnsi="Times New Roman"/>
          <w:i/>
          <w:iCs/>
          <w:sz w:val="20"/>
          <w:szCs w:val="20"/>
        </w:rPr>
        <w:t xml:space="preserve">Muslim Intellectual: A Study of al-Ghazali</w:t>
      </w:r>
      <w:r>
        <w:rPr>
          <w:rFonts w:ascii="Times New Roman" w:cs="Times New Roman" w:eastAsia="Times New Roman" w:hAnsi="Times New Roman"/>
          <w:sz w:val="20"/>
          <w:szCs w:val="20"/>
        </w:rPr>
        <w:t xml:space="preserve">. Edinburgh: Edinburgh University Press, 1963, 58-63.</w:t>
      </w:r>
    </w:p>
  </w:footnote>
  <w:footnote w:id="54">
    <w:p>
      <w:r>
        <w:rPr>
          <w:rStyle w:val="FootnoteReference"/>
        </w:rPr>
        <w:footnoteRef/>
      </w:r>
      <w:r>
        <w:rPr>
          <w:rFonts w:ascii="Times New Roman" w:cs="Times New Roman" w:eastAsia="Times New Roman" w:hAnsi="Times New Roman"/>
          <w:sz w:val="20"/>
          <w:szCs w:val="20"/>
        </w:rPr>
        <w:t xml:space="preserve">Gazzâlî, Ebû Hâmid Muhammed. </w:t>
      </w:r>
      <w:r>
        <w:rPr>
          <w:rFonts w:ascii="Times New Roman" w:cs="Times New Roman" w:eastAsia="Times New Roman" w:hAnsi="Times New Roman"/>
          <w:i/>
          <w:iCs/>
          <w:sz w:val="20"/>
          <w:szCs w:val="20"/>
        </w:rPr>
        <w:t xml:space="preserve">el-Munkız mine'd-Dalâl</w:t>
      </w:r>
      <w:r>
        <w:rPr>
          <w:rFonts w:ascii="Times New Roman" w:cs="Times New Roman" w:eastAsia="Times New Roman" w:hAnsi="Times New Roman"/>
          <w:sz w:val="20"/>
          <w:szCs w:val="20"/>
        </w:rPr>
        <w:t xml:space="preserve">. thk. Cemîl Salîbâ, Kâmil Ayyâd. Beyrut: Dâru'l-Endelüs, 1967, 82-84.</w:t>
      </w:r>
    </w:p>
  </w:footnote>
  <w:footnote w:id="55">
    <w:p>
      <w:r>
        <w:rPr>
          <w:rStyle w:val="FootnoteReference"/>
        </w:rPr>
        <w:footnoteRef/>
      </w:r>
      <w:r>
        <w:rPr>
          <w:rFonts w:ascii="Times New Roman" w:cs="Times New Roman" w:eastAsia="Times New Roman" w:hAnsi="Times New Roman"/>
          <w:sz w:val="20"/>
          <w:szCs w:val="20"/>
        </w:rPr>
        <w:t xml:space="preserve">Griffel, </w:t>
      </w:r>
      <w:r>
        <w:rPr>
          <w:rFonts w:ascii="Times New Roman" w:cs="Times New Roman" w:eastAsia="Times New Roman" w:hAnsi="Times New Roman"/>
          <w:i/>
          <w:iCs/>
          <w:sz w:val="20"/>
          <w:szCs w:val="20"/>
        </w:rPr>
        <w:t xml:space="preserve">Al-Ghazālī's Philosophical Theology</w:t>
      </w:r>
      <w:r>
        <w:rPr>
          <w:rFonts w:ascii="Times New Roman" w:cs="Times New Roman" w:eastAsia="Times New Roman" w:hAnsi="Times New Roman"/>
          <w:sz w:val="20"/>
          <w:szCs w:val="20"/>
        </w:rPr>
        <w:t xml:space="preserve">, 45-52.</w:t>
      </w:r>
    </w:p>
  </w:footnote>
  <w:footnote w:id="56">
    <w:p>
      <w:r>
        <w:rPr>
          <w:rStyle w:val="FootnoteReference"/>
        </w:rPr>
        <w:footnoteRef/>
      </w:r>
      <w:r>
        <w:rPr>
          <w:rFonts w:ascii="Times New Roman" w:cs="Times New Roman" w:eastAsia="Times New Roman" w:hAnsi="Times New Roman"/>
          <w:sz w:val="20"/>
          <w:szCs w:val="20"/>
        </w:rPr>
        <w:t xml:space="preserve">Leaman, Oliver. </w:t>
      </w:r>
      <w:r>
        <w:rPr>
          <w:rFonts w:ascii="Times New Roman" w:cs="Times New Roman" w:eastAsia="Times New Roman" w:hAnsi="Times New Roman"/>
          <w:i/>
          <w:iCs/>
          <w:sz w:val="20"/>
          <w:szCs w:val="20"/>
        </w:rPr>
        <w:t xml:space="preserve">An Introduction to Classical Islamic Philosophy</w:t>
      </w:r>
      <w:r>
        <w:rPr>
          <w:rFonts w:ascii="Times New Roman" w:cs="Times New Roman" w:eastAsia="Times New Roman" w:hAnsi="Times New Roman"/>
          <w:sz w:val="20"/>
          <w:szCs w:val="20"/>
        </w:rPr>
        <w:t xml:space="preserve">. 2. bs. Cambridge: Cambridge University Press, 2002, 38-44.</w:t>
      </w:r>
    </w:p>
  </w:footnote>
  <w:footnote w:id="57">
    <w:p>
      <w:r>
        <w:rPr>
          <w:rStyle w:val="FootnoteReference"/>
        </w:rPr>
        <w:footnoteRef/>
      </w:r>
      <w:r>
        <w:rPr>
          <w:rFonts w:ascii="Times New Roman" w:cs="Times New Roman" w:eastAsia="Times New Roman" w:hAnsi="Times New Roman"/>
          <w:sz w:val="20"/>
          <w:szCs w:val="20"/>
        </w:rPr>
        <w:t xml:space="preserve">Frank, Richard M. </w:t>
      </w:r>
      <w:r>
        <w:rPr>
          <w:rFonts w:ascii="Times New Roman" w:cs="Times New Roman" w:eastAsia="Times New Roman" w:hAnsi="Times New Roman"/>
          <w:i/>
          <w:iCs/>
          <w:sz w:val="20"/>
          <w:szCs w:val="20"/>
        </w:rPr>
        <w:t xml:space="preserve">Al-Ash'arī's Conception of the Nature and Role of Speculative Reasoning in Theology</w:t>
      </w:r>
      <w:r>
        <w:rPr>
          <w:rFonts w:ascii="Times New Roman" w:cs="Times New Roman" w:eastAsia="Times New Roman" w:hAnsi="Times New Roman"/>
          <w:sz w:val="20"/>
          <w:szCs w:val="20"/>
        </w:rPr>
        <w:t xml:space="preserve">. Louvain: Peeters, 1980, s. 43.</w:t>
      </w:r>
    </w:p>
  </w:footnote>
  <w:footnote w:id="58">
    <w:p>
      <w:r>
        <w:rPr>
          <w:rStyle w:val="FootnoteReference"/>
        </w:rPr>
        <w:footnoteRef/>
      </w:r>
      <w:r>
        <w:rPr>
          <w:rFonts w:ascii="Times New Roman" w:cs="Times New Roman" w:eastAsia="Times New Roman" w:hAnsi="Times New Roman"/>
          <w:sz w:val="20"/>
          <w:szCs w:val="20"/>
        </w:rPr>
        <w:t xml:space="preserve">Râzî, Fahreddin. </w:t>
      </w:r>
      <w:r>
        <w:rPr>
          <w:rFonts w:ascii="Times New Roman" w:cs="Times New Roman" w:eastAsia="Times New Roman" w:hAnsi="Times New Roman"/>
          <w:i/>
          <w:iCs/>
          <w:sz w:val="20"/>
          <w:szCs w:val="20"/>
        </w:rPr>
        <w:t xml:space="preserve">el-Muḥaṣṣal</w:t>
      </w:r>
      <w:r>
        <w:rPr>
          <w:rFonts w:ascii="Times New Roman" w:cs="Times New Roman" w:eastAsia="Times New Roman" w:hAnsi="Times New Roman"/>
          <w:sz w:val="20"/>
          <w:szCs w:val="20"/>
        </w:rPr>
        <w:t xml:space="preserve">. Thk. Hüseyin Atay. Kahire: Mektebetü Dâri't-Türâs, 1991, s. 8-15.</w:t>
      </w:r>
    </w:p>
  </w:footnote>
  <w:footnote w:id="59">
    <w:p>
      <w:r>
        <w:rPr>
          <w:rStyle w:val="FootnoteReference"/>
        </w:rPr>
        <w:footnoteRef/>
      </w:r>
      <w:r>
        <w:rPr>
          <w:rFonts w:ascii="Times New Roman" w:cs="Times New Roman" w:eastAsia="Times New Roman" w:hAnsi="Times New Roman"/>
          <w:sz w:val="20"/>
          <w:szCs w:val="20"/>
        </w:rPr>
        <w:t xml:space="preserve">Shihadeh, Ayman. </w:t>
      </w:r>
      <w:r>
        <w:rPr>
          <w:rFonts w:ascii="Times New Roman" w:cs="Times New Roman" w:eastAsia="Times New Roman" w:hAnsi="Times New Roman"/>
          <w:i/>
          <w:iCs/>
          <w:sz w:val="20"/>
          <w:szCs w:val="20"/>
        </w:rPr>
        <w:t xml:space="preserve">The Teleological Ethics of Fakhr al-Dīn al-Rāzī</w:t>
      </w:r>
      <w:r>
        <w:rPr>
          <w:rFonts w:ascii="Times New Roman" w:cs="Times New Roman" w:eastAsia="Times New Roman" w:hAnsi="Times New Roman"/>
          <w:sz w:val="20"/>
          <w:szCs w:val="20"/>
        </w:rPr>
        <w:t xml:space="preserve">. Leiden: Brill, 2006, s. 12-17.</w:t>
      </w:r>
    </w:p>
  </w:footnote>
  <w:footnote w:id="60">
    <w:p>
      <w:r>
        <w:rPr>
          <w:rStyle w:val="FootnoteReference"/>
        </w:rPr>
        <w:footnoteRef/>
      </w:r>
      <w:r>
        <w:rPr>
          <w:rFonts w:ascii="Times New Roman" w:cs="Times New Roman" w:eastAsia="Times New Roman" w:hAnsi="Times New Roman"/>
          <w:sz w:val="20"/>
          <w:szCs w:val="20"/>
        </w:rPr>
        <w:t xml:space="preserve">Griffel, Frank. </w:t>
      </w:r>
      <w:r>
        <w:rPr>
          <w:rFonts w:ascii="Times New Roman" w:cs="Times New Roman" w:eastAsia="Times New Roman" w:hAnsi="Times New Roman"/>
          <w:i/>
          <w:iCs/>
          <w:sz w:val="20"/>
          <w:szCs w:val="20"/>
        </w:rPr>
        <w:t xml:space="preserve">Al-Ghazālī's Philosophical Theology</w:t>
      </w:r>
      <w:r>
        <w:rPr>
          <w:rFonts w:ascii="Times New Roman" w:cs="Times New Roman" w:eastAsia="Times New Roman" w:hAnsi="Times New Roman"/>
          <w:sz w:val="20"/>
          <w:szCs w:val="20"/>
        </w:rPr>
        <w:t xml:space="preserve">. Oxford: Oxford University Press, 2009, s. 98.</w:t>
      </w:r>
    </w:p>
  </w:footnote>
  <w:footnote w:id="61">
    <w:p>
      <w:r>
        <w:rPr>
          <w:rStyle w:val="FootnoteReference"/>
        </w:rPr>
        <w:footnoteRef/>
      </w:r>
      <w:r>
        <w:rPr>
          <w:rFonts w:ascii="Times New Roman" w:cs="Times New Roman" w:eastAsia="Times New Roman" w:hAnsi="Times New Roman"/>
          <w:sz w:val="20"/>
          <w:szCs w:val="20"/>
        </w:rPr>
        <w:t xml:space="preserve">El-Îcî, Adudüddin. </w:t>
      </w:r>
      <w:r>
        <w:rPr>
          <w:rFonts w:ascii="Times New Roman" w:cs="Times New Roman" w:eastAsia="Times New Roman" w:hAnsi="Times New Roman"/>
          <w:i/>
          <w:iCs/>
          <w:sz w:val="20"/>
          <w:szCs w:val="20"/>
        </w:rPr>
        <w:t xml:space="preserve">el-Mevâḳıf fî 'İlmi'l-Kelâm</w:t>
      </w:r>
      <w:r>
        <w:rPr>
          <w:rFonts w:ascii="Times New Roman" w:cs="Times New Roman" w:eastAsia="Times New Roman" w:hAnsi="Times New Roman"/>
          <w:sz w:val="20"/>
          <w:szCs w:val="20"/>
        </w:rPr>
        <w:t xml:space="preserve">. Beyrut: Âlemü'l-Kütüb, ts., s. 3-5.</w:t>
      </w:r>
    </w:p>
  </w:footnote>
  <w:footnote w:id="62">
    <w:p>
      <w:r>
        <w:rPr>
          <w:rStyle w:val="FootnoteReference"/>
        </w:rPr>
        <w:footnoteRef/>
      </w:r>
      <w:r>
        <w:rPr>
          <w:rFonts w:ascii="Times New Roman" w:cs="Times New Roman" w:eastAsia="Times New Roman" w:hAnsi="Times New Roman"/>
          <w:sz w:val="20"/>
          <w:szCs w:val="20"/>
        </w:rPr>
        <w:t xml:space="preserve">Dallal, Ahmad. Islam, Science, and the Challenge of History. New Haven: Yale University Press, 2010, s. 3-7.</w:t>
      </w:r>
    </w:p>
  </w:footnote>
  <w:footnote w:id="63">
    <w:p>
      <w:r>
        <w:rPr>
          <w:rStyle w:val="FootnoteReference"/>
        </w:rPr>
        <w:footnoteRef/>
      </w:r>
      <w:r>
        <w:rPr>
          <w:rFonts w:ascii="Times New Roman" w:cs="Times New Roman" w:eastAsia="Times New Roman" w:hAnsi="Times New Roman"/>
          <w:sz w:val="20"/>
          <w:szCs w:val="20"/>
        </w:rPr>
        <w:t xml:space="preserve">Dallal, Islam, Science, s. 112-115.</w:t>
      </w:r>
    </w:p>
  </w:footnote>
  <w:footnote w:id="64">
    <w:p>
      <w:r>
        <w:rPr>
          <w:rStyle w:val="FootnoteReference"/>
        </w:rPr>
        <w:footnoteRef/>
      </w:r>
      <w:r>
        <w:rPr>
          <w:rFonts w:ascii="Times New Roman" w:cs="Times New Roman" w:eastAsia="Times New Roman" w:hAnsi="Times New Roman"/>
          <w:sz w:val="20"/>
          <w:szCs w:val="20"/>
        </w:rPr>
        <w:t xml:space="preserve">Dallal, Islam, Science, s. 118-122.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2026-03-18T23:30:28.767Z</dcterms:created>
  <dcterms:modified xsi:type="dcterms:W3CDTF">2026-03-18T23:30:28.767Z</dcterms:modified>
</cp:coreProperties>
</file>

<file path=docProps/custom.xml><?xml version="1.0" encoding="utf-8"?>
<Properties xmlns="http://schemas.openxmlformats.org/officeDocument/2006/custom-properties" xmlns:vt="http://schemas.openxmlformats.org/officeDocument/2006/docPropsVTypes"/>
</file>