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rPr>
          <w:rFonts w:ascii="Times New Roman" w:cs="Times New Roman" w:eastAsia="Times New Roman" w:hAnsi="Times New Roman"/>
          <w:b/>
          <w:bCs/>
          <w:color w:val="000000"/>
          <w:sz w:val="32"/>
          <w:szCs w:val="32"/>
        </w:rPr>
        <w:t xml:space="preserve">2. Bölüm: İlk Ekoller: Mutezile ve Rakipleri</w:t>
      </w:r>
    </w:p>
    <w:p>
      <w:pPr>
        <w:pStyle w:val="Heading2"/>
        <w:spacing w:after="200" w:before="200"/>
      </w:pPr>
      <w:r>
        <w:rPr>
          <w:rFonts w:ascii="Times New Roman" w:cs="Times New Roman" w:eastAsia="Times New Roman" w:hAnsi="Times New Roman"/>
          <w:b/>
          <w:bCs/>
          <w:color w:val="000000"/>
          <w:sz w:val="28"/>
          <w:szCs w:val="28"/>
        </w:rPr>
        <w:t xml:space="preserve">Mutezile: Aklın Öncüleri</w:t>
      </w:r>
    </w:p>
    <w:p>
      <w:pPr>
        <w:pStyle w:val="Heading3"/>
        <w:spacing w:after="100" w:before="150"/>
      </w:pPr>
      <w:r>
        <w:rPr>
          <w:rFonts w:ascii="Times New Roman" w:cs="Times New Roman" w:eastAsia="Times New Roman" w:hAnsi="Times New Roman"/>
          <w:b/>
          <w:bCs/>
          <w:color w:val="000000"/>
          <w:sz w:val="26"/>
          <w:szCs w:val="26"/>
        </w:rPr>
        <w:t xml:space="preserve">Mutezile'nin Doğuşu ve Beş Esası</w:t>
      </w:r>
    </w:p>
    <w:p>
      <w:pPr>
        <w:spacing w:after="120" w:line="360"/>
        <w:ind w:firstLine="720"/>
      </w:pPr>
      <w:r>
        <w:rPr>
          <w:rFonts w:ascii="Times New Roman" w:cs="Times New Roman" w:eastAsia="Times New Roman" w:hAnsi="Times New Roman"/>
          <w:sz w:val="24"/>
          <w:szCs w:val="24"/>
        </w:rPr>
        <w:t xml:space="preserve">İslam düşünce tarihinin ilk iki yüzyılı, siyasi çalkantıların kaçınılmaz biçimde teolojik sorulara dönüştüğü bir dönüşüm sürecine sahne olmuştur. Birinci bölümde incelenen siyasi krizler —hilafet tartışmaları, Haricî ve Mürcie gibi erken fraksiyonların büyük günah işleyen müminin statüsüne dair birbirinden keskin biçimde ayrışan tutumları— kelam ilminin doğuşunu fiilen zorunlu kılmıştır. Bu ikinci bölüm, söz konusu zorunluluktan neşet eden ilk sistematik teoloji ekollerini —başta Mutezile olmak üzere rakiplerini ve onların entelektüel mirasını— ele almaktadır. Amaç yalnızca tarihi kaydetmek değil; İslam aklının nasıl oluştuğunu, hangi sorular etrafında kristalleştiğini ve bu sorulara verilen yanıtların İslam medeniyetinin entelektüel dokusunu nasıl şekillendirdiğini anlamaktır.</w:t>
      </w:r>
    </w:p>
    <w:p>
      <w:pPr>
        <w:spacing w:after="120" w:line="360"/>
        <w:ind w:firstLine="720"/>
      </w:pPr>
      <w:r>
        <w:rPr>
          <w:rFonts w:ascii="Times New Roman" w:cs="Times New Roman" w:eastAsia="Times New Roman" w:hAnsi="Times New Roman"/>
          <w:sz w:val="24"/>
          <w:szCs w:val="24"/>
        </w:rPr>
        <w:t xml:space="preserve">Bu bağlamda sahnede ilk görünen büyük ekol Mutezile'dir. Mutezilî düşünce, yalnızca teolojik bir okul olmakla kalmayıp İslam tarihinde aklın dinî bilginin kurucu unsuru olarak öne çıkarıldığı ilk tutarlı girişimi temsil eder. Ekolün beş temel ilkesi, bu girişimin hem felsefi pusulasını hem de pratik siyasi programını oluşturmuştur.</w:t>
      </w:r>
    </w:p>
    <w:p>
      <w:pPr>
        <w:spacing w:after="120" w:line="360"/>
        <w:ind w:firstLine="720"/>
      </w:pPr>
      <w:r>
        <w:rPr>
          <w:rFonts w:ascii="Times New Roman" w:cs="Times New Roman" w:eastAsia="Times New Roman" w:hAnsi="Times New Roman"/>
          <w:sz w:val="24"/>
          <w:szCs w:val="24"/>
        </w:rPr>
        <w:t xml:space="preserve">Mutezile'nin kuruluşu geleneksel olarak Vasıl b. Ata'ya (ö. 131/748) atfedilir. Rivayete göre Vasıl, hocası Hasan el-Basrî'nin dersini terk ederek —ya da daha doğru bir ifadeyle, büyük günah meselesinde ondan ayrılarak— kendi çevresini oluşturmuştur; bu ayrılmadan dolayı gruba "itizal edenler," yani uzaklaşanlar anlamında Mutezile adı verilmiştir. Vasıl'ın temel katkısı, büyük günah işleyen müminin ne tam anlamıyla mümin ne de kâfir sayılabileceğini savunmasıdır; bu ara konum, el-menzile beyne'l-menzileteyn, yani "iki konum arasındaki konum" ilkesi olarak ekolün beş esasından birini teşkil edecektir. Söz konusu görüş, dönemin siyasi atmosferinde yalnızca teolojik bir tercih değil, Haricîlerin tekfirci şiddetine ve Mürcie'nin ahlaki ilgisizliğine karşı dengeli bir tutum alma çabasıydı.</w:t>
      </w:r>
      <w:r>
        <w:rPr>
          <w:rStyle w:val="FootnoteReference"/>
        </w:rPr>
        <w:footnoteReference w:id="1"/>
      </w:r>
    </w:p>
    <w:p>
      <w:pPr>
        <w:spacing w:after="120" w:line="360"/>
        <w:ind w:firstLine="720"/>
      </w:pPr>
      <w:r>
        <w:rPr>
          <w:rFonts w:ascii="Times New Roman" w:cs="Times New Roman" w:eastAsia="Times New Roman" w:hAnsi="Times New Roman"/>
          <w:sz w:val="24"/>
          <w:szCs w:val="24"/>
        </w:rPr>
        <w:t xml:space="preserve">Mutezile'nin beş ilkesi —usûl-i hamse— ekolün entelektüel kimliğinin çekirdeğini oluşturur ve birbirini tamamlayan bir bütün olarak anlaşılmalarını gerektirir. Bunların ilki ve en temel olanı tevhiddir; bu kavram Mutezile'de yalnızca Allah'ın birliğini ilan etmekle kalmaz, O'nu her türlü beşerî nitelikten tenzih etmeyi de kapsar. Mutezilîlere göre Allah'a güç, irade veya ilim gibi sıfatlar atfetmek, bu sıfatların ezelî ve bağımsız varlıklar olduğu anlamına gelir; bu ise birden fazla ezelî varlık kabul etmek demektir ve tevhide aykırıdır. Sıfatlar meselesindeki bu radikal tutum, onları dönemin diğer teolojik akımlarından keskin biçimde ayırır.</w:t>
      </w:r>
      <w:r>
        <w:rPr>
          <w:rStyle w:val="FootnoteReference"/>
        </w:rPr>
        <w:footnoteReference w:id="2"/>
      </w:r>
    </w:p>
    <w:p>
      <w:pPr>
        <w:spacing w:after="120" w:line="360"/>
        <w:ind w:firstLine="720"/>
      </w:pPr>
      <w:r>
        <w:rPr>
          <w:rFonts w:ascii="Times New Roman" w:cs="Times New Roman" w:eastAsia="Times New Roman" w:hAnsi="Times New Roman"/>
          <w:sz w:val="24"/>
          <w:szCs w:val="24"/>
        </w:rPr>
        <w:t xml:space="preserve">İkinci ilke olan adl, yani ilahî adalet, Mutezile'nin ahlak anlayışının temelidir. Bu ilkeye göre Allah mutlak anlamda adildir ve kul için mümkün olmayan, hatta zulüm teşkil edecek bir şeyi yaratmaz. Buradan çıkan önemli sonuç şudur: insan, kendi eylemlerinin gerçek failidir. Şayet Allah insanı bir fiili yapmak zorunda bırakır ve sonra bu fiil nedeniyle onu cezalandırırsa, bu açık bir haksızlık olur; dolayısıyla insan özgür iradeye sahip olmak zorundadır. Bu argüman, Mutezile'yi kader meselesinde Cebriyye'nin karşı kutbuna yerleştirir ve İslam düşüncesindeki özgür irade tartışmasının en erken sistematik ifadelerinden birini sunar.</w:t>
      </w:r>
      <w:r>
        <w:rPr>
          <w:rStyle w:val="FootnoteReference"/>
        </w:rPr>
        <w:footnoteReference w:id="3"/>
      </w:r>
    </w:p>
    <w:p>
      <w:pPr>
        <w:spacing w:after="120" w:line="360"/>
        <w:ind w:firstLine="720"/>
      </w:pPr>
      <w:r>
        <w:rPr>
          <w:rFonts w:ascii="Times New Roman" w:cs="Times New Roman" w:eastAsia="Times New Roman" w:hAnsi="Times New Roman"/>
          <w:sz w:val="24"/>
          <w:szCs w:val="24"/>
        </w:rPr>
        <w:t xml:space="preserve">Üçüncü ilke olan va'd ve vaîd —yani ilahî söz ve tehdit— adl ilkesinin mantıksal sonucudur. Allah, iyilik yapana mükâfat vaat etmiş, kötülük yapana azap tehdit etmiştir; bu sözün aksine davranmak ilahî tutarsızlık olur. Dördüncü ilke, yukarıda değinilen el-menzile beyne'l-menzileteyn'dir: büyük günah işleyen kimse fasık olarak adlandırılır; ne mümin ne kâfirdir. Bu ilke, Mutezile'nin erken İslam siyasetinin en ateşli tartışmalarına müdahil olduğunu açıkça gösterir. Beşinci ve son ilke olan emir bi'l-maruf ve nehy ani'l-münker —iyiliği emretmek ve kötülükten alıkoymak— ise teolojik sistemi toplumsal bir sorumluluk etiğiyle taçlandırır; bu ilke, Mutezile'nin bilgiyle eylemi birbirinden koparmayan yapısını yansıtır.</w:t>
      </w:r>
      <w:r>
        <w:rPr>
          <w:rStyle w:val="FootnoteReference"/>
        </w:rPr>
        <w:footnoteReference w:id="4"/>
      </w:r>
    </w:p>
    <w:p>
      <w:pPr>
        <w:spacing w:after="120" w:line="360"/>
        <w:ind w:firstLine="720"/>
      </w:pPr>
      <w:r>
        <w:rPr>
          <w:rFonts w:ascii="Times New Roman" w:cs="Times New Roman" w:eastAsia="Times New Roman" w:hAnsi="Times New Roman"/>
          <w:sz w:val="24"/>
          <w:szCs w:val="24"/>
        </w:rPr>
        <w:t xml:space="preserve">Bu beş ilkeye egemen olan genel ruh, aklın —naklin tamamlayıcısı olarak değil, onunla eşdeğer ve hatta zaman zaman öncelikli bir kaynak olarak— teolojik hükümlerin belirlenmesinde belirleyici rol oynayabileceği inancıdır. Mutezile için akıl, Allah'ın insanlığa bahşettiği evrensel bir yetidir ve bu yetin kullanılması hem epistemolojik hem de ahlaki bir zorunluluktur. Teoloji yapmak demek, Kur'an ve Sünnet'i akılsız bir itaatle tekrarlamak değil; bu kaynakların anlamını tutarlı, çelişkisiz bir dizge içinde kavramak demektir. İşte bu kavrayış, Mutezile'yi İslam düşüncesinin hem en heyecan verici hem de en tartışmalı koluna dönüştürecektir.</w:t>
      </w:r>
    </w:p>
    <w:p>
      <w:pPr>
        <w:spacing w:after="120" w:line="360"/>
        <w:ind w:firstLine="720"/>
      </w:pPr>
      <w:r>
        <w:rPr>
          <w:rFonts w:ascii="Times New Roman" w:cs="Times New Roman" w:eastAsia="Times New Roman" w:hAnsi="Times New Roman"/>
          <w:sz w:val="24"/>
          <w:szCs w:val="24"/>
        </w:rPr>
        <w:t xml:space="preserve">Nitekim bu tartışmalılık yalnızca entelektüel arenada kalmayacak; sekizinci ve dokuzuncu yüzyıllarda devlet müdahalesiyle birlikte açıkça siyasi bir boyut kazanacaktır. Mihne dönemi olarak bilinen bu süreç, Mutezile'nin resmî iktidarla kurduğu tehlikeli ittifakın ve bu ittifakın doğurduğu kırılganlıkların en çarpıcı ifadesini oluşturmaktadır.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Qādī l-Quḍāt Abū l-Ḥasan 'Abd al-Jabbār ibn Aḥmad al-Hamadānī. Leiden: Brill, 1976, 4-7.</w:t>
      </w:r>
    </w:p>
  </w:footnote>
  <w:footnote w:id="2">
    <w:p>
      <w:r>
        <w:rPr>
          <w:rStyle w:val="FootnoteReference"/>
        </w:rPr>
        <w:footnoteRef/>
      </w:r>
      <w:r>
        <w:rPr>
          <w:rFonts w:ascii="Times New Roman" w:cs="Times New Roman" w:eastAsia="Times New Roman" w:hAnsi="Times New Roman"/>
          <w:sz w:val="20"/>
          <w:szCs w:val="20"/>
        </w:rPr>
        <w:t xml:space="preserve">Peters, God's Created Speech, 31-38.</w:t>
      </w:r>
    </w:p>
  </w:footnote>
  <w:footnote w:id="3">
    <w:p>
      <w:r>
        <w:rPr>
          <w:rStyle w:val="FootnoteReference"/>
        </w:rPr>
        <w:footnoteRef/>
      </w:r>
      <w:r>
        <w:rPr>
          <w:rFonts w:ascii="Times New Roman" w:cs="Times New Roman" w:eastAsia="Times New Roman" w:hAnsi="Times New Roman"/>
          <w:sz w:val="20"/>
          <w:szCs w:val="20"/>
        </w:rPr>
        <w:t xml:space="preserve">Peters, God's Created Speech, 42-49.</w:t>
      </w:r>
    </w:p>
  </w:footnote>
  <w:footnote w:id="4">
    <w:p>
      <w:r>
        <w:rPr>
          <w:rStyle w:val="FootnoteReference"/>
        </w:rPr>
        <w:footnoteRef/>
      </w:r>
      <w:r>
        <w:rPr>
          <w:rFonts w:ascii="Times New Roman" w:cs="Times New Roman" w:eastAsia="Times New Roman" w:hAnsi="Times New Roman"/>
          <w:sz w:val="20"/>
          <w:szCs w:val="20"/>
        </w:rPr>
        <w:t xml:space="preserve">Peters, God's Created Speech, 50-56.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2026-03-18T23:36:15.345Z</dcterms:created>
  <dcterms:modified xsi:type="dcterms:W3CDTF">2026-03-18T23:36:15.345Z</dcterms:modified>
</cp:coreProperties>
</file>

<file path=docProps/custom.xml><?xml version="1.0" encoding="utf-8"?>
<Properties xmlns="http://schemas.openxmlformats.org/officeDocument/2006/custom-properties" xmlns:vt="http://schemas.openxmlformats.org/officeDocument/2006/docPropsVTypes"/>
</file>