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r>
              <w:rPr>
                <w:b/>
                <w:i/>
                <w:color w:val="7F2A00"/>
              </w:rPr>
              <w:t>Contenu basé sur la SIA 118, norme payante restituée de mémoire : vérifier le texte officiel et le contrat avant tout usage contractuel.</w:t>
            </w:r>
          </w:p>
        </w:tc>
      </w:tr>
    </w:tbl>
    <w:p/>
    <w:p>
      <w:pPr>
        <w:jc w:val="center"/>
      </w:pPr>
      <w:r>
        <w:rPr>
          <w:b/>
          <w:color w:val="1F3B57"/>
          <w:sz w:val="36"/>
        </w:rPr>
        <w:t>CHECKLIST DE RÉCEPTION D'OUVRAGE</w:t>
      </w:r>
    </w:p>
    <w:p>
      <w:pPr>
        <w:jc w:val="center"/>
      </w:pPr>
      <w:r>
        <w:rPr>
          <w:i/>
          <w:color w:val="404040"/>
          <w:sz w:val="22"/>
        </w:rPr>
        <w:t>Norme SIA 118, édition 2013</w:t>
      </w:r>
    </w:p>
    <w:p/>
    <w:p>
      <w:r>
        <w:rPr>
          <w:b w:val="0"/>
          <w:i w:val="0"/>
        </w:rPr>
        <w:t>Cette checklist structure la réception d'ouvrage d'un chantier soumis à la norme SIA 118 « Conditions générales pour l'exécution des travaux de construction » (édition 2013). Elle couvre les trois temps de la réception : avant, pendant et après. Coche chaque case au fur et à mesure et complète la colonne remarque pour tracer les écarts.</w:t>
      </w:r>
    </w:p>
    <w:p/>
    <w:p>
      <w:pPr>
        <w:pStyle w:val="Heading1"/>
      </w:pPr>
      <w:r>
        <w:t>Avant la réception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1F3B5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6236"/>
            <w:shd w:fill="1F3B57"/>
          </w:tcPr>
          <w:p>
            <w:r/>
            <w:r>
              <w:rPr>
                <w:b/>
                <w:color w:val="FFFFFF"/>
              </w:rPr>
              <w:t>Item à vérifier</w:t>
            </w:r>
          </w:p>
        </w:tc>
        <w:tc>
          <w:tcPr>
            <w:tcW w:type="dxa" w:w="2835"/>
            <w:shd w:fill="1F3B57"/>
          </w:tcPr>
          <w:p>
            <w:r/>
            <w:r>
              <w:rPr>
                <w:b/>
                <w:color w:val="FFFFFF"/>
              </w:rPr>
              <w:t>Remarque</w:t>
            </w:r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Demande de réception reçue de l'entrepreneur, par écrit et datée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Convocation envoyée à toutes les parties concernées (MO, direction des travaux, mandataires, entrepreneur) avec délai de préavis suffisant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Plans conformes à l'exécution réunis et vérifiés (mise à jour des dernières modifications de chantier)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Dossier des ouvrages exécutés (DOE) réuni : notices techniques, fiches produits, schémas d'installation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Attestations et certificats de conformité réunis (électricité, gaz, protection incendie, étanchéité selon corps de métier)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Protocoles d'essais et de mise en service réunis (installations techniques CVSE, ascenseurs)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Pré-visite interne effectuée par la direction des travaux avant la date officielle de réception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Liste des réserves connues de la pré-visite transmise à l'entrepreneur pour correction avant la réception officielle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Nettoyage de fin de chantier planifié et confirmé avant la date de réception</w:t>
            </w:r>
          </w:p>
        </w:tc>
        <w:tc>
          <w:tcPr>
            <w:tcW w:type="dxa" w:w="3324"/>
          </w:tcPr>
          <w:p>
            <w:r/>
            <w:r/>
          </w:p>
        </w:tc>
      </w:tr>
    </w:tbl>
    <w:p/>
    <w:p>
      <w:pPr>
        <w:pStyle w:val="Heading1"/>
      </w:pPr>
      <w:r>
        <w:t>Pendant la réception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1F3B5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6236"/>
            <w:shd w:fill="1F3B57"/>
          </w:tcPr>
          <w:p>
            <w:r/>
            <w:r>
              <w:rPr>
                <w:b/>
                <w:color w:val="FFFFFF"/>
              </w:rPr>
              <w:t>Item à vérifier</w:t>
            </w:r>
          </w:p>
        </w:tc>
        <w:tc>
          <w:tcPr>
            <w:tcW w:type="dxa" w:w="2835"/>
            <w:shd w:fill="1F3B57"/>
          </w:tcPr>
          <w:p>
            <w:r/>
            <w:r>
              <w:rPr>
                <w:b/>
                <w:color w:val="FFFFFF"/>
              </w:rPr>
              <w:t>Remarque</w:t>
            </w:r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Vérification commune de l'ouvrage effectuée avec toutes les parties convoquées présentes ou représentées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Chaque local ou lot technique parcouru et contrôlé selon une liste systématique (pas au hasard)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Essais de fonctionnement des installations techniques observés en présence de la direction des travaux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Relevé des défauts constaté consigné au fur et à mesure de la visite (voir tableau ci-dessous)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Décision prise et motivée : réception acceptée, refusée ou acceptée avec réserves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Date de fin de délai de réfection des réserves fixée et communiquée à l'entrepreneur</w:t>
            </w:r>
          </w:p>
        </w:tc>
        <w:tc>
          <w:tcPr>
            <w:tcW w:type="dxa" w:w="3324"/>
          </w:tcPr>
          <w:p>
            <w:r/>
            <w:r/>
          </w:p>
        </w:tc>
      </w:tr>
    </w:tbl>
    <w:p/>
    <w:p>
      <w:pPr>
        <w:pStyle w:val="Heading2"/>
      </w:pPr>
      <w:r>
        <w:t>Relevé des défauts constatés lors de la vérification commune</w:t>
      </w:r>
    </w:p>
    <w:p>
      <w:r>
        <w:rPr>
          <w:b w:val="0"/>
          <w:i w:val="0"/>
        </w:rPr>
        <w:t>Une ligne par défaut relevé pendant la visite de réception. La ligne ci-dessous est un exemple à remplacer.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1F3B57"/>
          </w:tcPr>
          <w:p>
            <w:r/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2268"/>
            <w:shd w:fill="1F3B57"/>
          </w:tcPr>
          <w:p>
            <w:r/>
            <w:r>
              <w:rPr>
                <w:b/>
                <w:color w:val="FFFFFF"/>
              </w:rPr>
              <w:t>Local</w:t>
            </w:r>
          </w:p>
        </w:tc>
        <w:tc>
          <w:tcPr>
            <w:tcW w:type="dxa" w:w="3685"/>
            <w:shd w:fill="1F3B57"/>
          </w:tcPr>
          <w:p>
            <w:r/>
            <w:r>
              <w:rPr>
                <w:b/>
                <w:color w:val="FFFFFF"/>
              </w:rPr>
              <w:t>Description du défaut</w:t>
            </w:r>
          </w:p>
        </w:tc>
        <w:tc>
          <w:tcPr>
            <w:tcW w:type="dxa" w:w="1701"/>
            <w:shd w:fill="1F3B57"/>
          </w:tcPr>
          <w:p>
            <w:r/>
            <w:r>
              <w:rPr>
                <w:b/>
                <w:color w:val="FFFFFF"/>
              </w:rPr>
              <w:t>Délai de réfection</w:t>
            </w:r>
          </w:p>
        </w:tc>
        <w:tc>
          <w:tcPr>
            <w:tcW w:type="dxa" w:w="1984"/>
            <w:shd w:fill="1F3B57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1994"/>
            <w:shd w:fill="F2F2F2"/>
          </w:tcPr>
          <w:p>
            <w:r/>
            <w:r>
              <w:rPr>
                <w:i/>
                <w:color w:val="404040"/>
              </w:rPr>
              <w:t>1</w:t>
            </w:r>
          </w:p>
        </w:tc>
        <w:tc>
          <w:tcPr>
            <w:tcW w:type="dxa" w:w="1994"/>
            <w:shd w:fill="F2F2F2"/>
          </w:tcPr>
          <w:p>
            <w:r/>
            <w:r>
              <w:rPr>
                <w:i/>
                <w:color w:val="404040"/>
              </w:rPr>
              <w:t>Séjour, 2e étage appt 201</w:t>
            </w:r>
          </w:p>
        </w:tc>
        <w:tc>
          <w:tcPr>
            <w:tcW w:type="dxa" w:w="1994"/>
            <w:shd w:fill="F2F2F2"/>
          </w:tcPr>
          <w:p>
            <w:r/>
            <w:r>
              <w:rPr>
                <w:i/>
                <w:color w:val="404040"/>
              </w:rPr>
              <w:t>Éclat de peinture sur l'arête du mur nord (exemple à remplacer)</w:t>
            </w:r>
          </w:p>
        </w:tc>
        <w:tc>
          <w:tcPr>
            <w:tcW w:type="dxa" w:w="1994"/>
            <w:shd w:fill="F2F2F2"/>
          </w:tcPr>
          <w:p>
            <w:r/>
            <w:r>
              <w:rPr>
                <w:i/>
                <w:color w:val="404040"/>
              </w:rPr>
              <w:t>30 jours</w:t>
            </w:r>
          </w:p>
        </w:tc>
        <w:tc>
          <w:tcPr>
            <w:tcW w:type="dxa" w:w="1994"/>
            <w:shd w:fill="F2F2F2"/>
          </w:tcPr>
          <w:p>
            <w:r/>
            <w:r>
              <w:rPr>
                <w:i/>
                <w:color w:val="404040"/>
              </w:rPr>
              <w:t>Entreprise peinture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>
      <w:pPr>
        <w:pStyle w:val="Heading2"/>
      </w:pPr>
      <w:r>
        <w:t>Décision de réception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803"/>
            <w:shd w:fill="1F3B57"/>
          </w:tcPr>
          <w:p>
            <w:r/>
            <w:r>
              <w:rPr>
                <w:b/>
                <w:color w:val="FFFFFF"/>
              </w:rPr>
              <w:t>Décision</w:t>
            </w:r>
          </w:p>
        </w:tc>
        <w:tc>
          <w:tcPr>
            <w:tcW w:type="dxa" w:w="2268"/>
            <w:shd w:fill="1F3B57"/>
          </w:tcPr>
          <w:p>
            <w:r/>
            <w:r>
              <w:rPr>
                <w:b/>
                <w:color w:val="FFFFFF"/>
              </w:rPr>
              <w:t>Cocher</w:t>
            </w:r>
          </w:p>
        </w:tc>
      </w:tr>
      <w:tr>
        <w:tc>
          <w:tcPr>
            <w:tcW w:type="dxa" w:w="4986"/>
          </w:tcPr>
          <w:p>
            <w:r/>
            <w:r>
              <w:t>Réception acceptée sans réserve</w:t>
            </w:r>
          </w:p>
        </w:tc>
        <w:tc>
          <w:tcPr>
            <w:tcW w:type="dxa" w:w="4986"/>
          </w:tcPr>
          <w:p>
            <w:r/>
            <w:r>
              <w:t>☐</w:t>
            </w:r>
          </w:p>
        </w:tc>
      </w:tr>
      <w:tr>
        <w:tc>
          <w:tcPr>
            <w:tcW w:type="dxa" w:w="4986"/>
          </w:tcPr>
          <w:p>
            <w:r/>
            <w:r>
              <w:t>Réception acceptée avec réserves</w:t>
            </w:r>
          </w:p>
        </w:tc>
        <w:tc>
          <w:tcPr>
            <w:tcW w:type="dxa" w:w="4986"/>
          </w:tcPr>
          <w:p>
            <w:r/>
            <w:r>
              <w:t>☐</w:t>
            </w:r>
          </w:p>
        </w:tc>
      </w:tr>
      <w:tr>
        <w:tc>
          <w:tcPr>
            <w:tcW w:type="dxa" w:w="4986"/>
          </w:tcPr>
          <w:p>
            <w:r/>
            <w:r>
              <w:t>Réception refusée</w:t>
            </w:r>
          </w:p>
        </w:tc>
        <w:tc>
          <w:tcPr>
            <w:tcW w:type="dxa" w:w="4986"/>
          </w:tcPr>
          <w:p>
            <w:r/>
            <w:r>
              <w:t>☐</w:t>
            </w:r>
          </w:p>
        </w:tc>
      </w:tr>
    </w:tbl>
    <w:p/>
    <w:p>
      <w:r>
        <w:rPr>
          <w:b w:val="0"/>
          <w:i w:val="0"/>
        </w:rPr>
        <w:t>Date de la vérification commune : .........................    Date limite de réfection des réserves : .........................</w:t>
      </w:r>
    </w:p>
    <w:p/>
    <w:p>
      <w:pPr>
        <w:pStyle w:val="Heading1"/>
      </w:pPr>
      <w:r>
        <w:t>Après la réception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1F3B5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6236"/>
            <w:shd w:fill="1F3B57"/>
          </w:tcPr>
          <w:p>
            <w:r/>
            <w:r>
              <w:rPr>
                <w:b/>
                <w:color w:val="FFFFFF"/>
              </w:rPr>
              <w:t>Item à vérifier</w:t>
            </w:r>
          </w:p>
        </w:tc>
        <w:tc>
          <w:tcPr>
            <w:tcW w:type="dxa" w:w="2835"/>
            <w:shd w:fill="1F3B57"/>
          </w:tcPr>
          <w:p>
            <w:r/>
            <w:r>
              <w:rPr>
                <w:b/>
                <w:color w:val="FFFFFF"/>
              </w:rPr>
              <w:t>Remarque</w:t>
            </w:r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Procès-verbal de réception rédigé et signé par toutes les parties présentes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Copie du PV de réception transmise à l'entrepreneur et archivée dans le dossier projet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Avis des défauts formalisé par écrit pour tout défaut constaté après la réception, dans les délais contractuels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Date de début du délai de garantie de 2 ans enregistrée pour chaque lot réceptionné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Défauts cachés : les défauts cachés doivent être avisés immédiatement après leur découverte, au plus tard dans les 5 ans dès la réception (délai de prescription)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Conditions de libération de la retenue de garantie vérifiées (pourcentage retenu, durée, sûreté de remplacement possible selon le contrat)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Sûreté de remplacement (garantie bancaire) demandée si la retenue en espèces doit être libérée par anticipation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Suivi des réfections des réserves organisé avec délais et responsables nommés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Réception des réfections planifiée une fois les travaux de correction annoncés terminés par l'entrepreneur</w:t>
            </w:r>
          </w:p>
        </w:tc>
        <w:tc>
          <w:tcPr>
            <w:tcW w:type="dxa" w:w="3324"/>
          </w:tcPr>
          <w:p>
            <w:r/>
            <w:r/>
          </w:p>
        </w:tc>
      </w:tr>
      <w:tr>
        <w:tc>
          <w:tcPr>
            <w:tcW w:type="dxa" w:w="3324"/>
          </w:tcPr>
          <w:p>
            <w:r/>
            <w:r>
              <w:t>☐</w:t>
            </w:r>
          </w:p>
        </w:tc>
        <w:tc>
          <w:tcPr>
            <w:tcW w:type="dxa" w:w="3324"/>
          </w:tcPr>
          <w:p>
            <w:r/>
            <w:r>
              <w:t>Clôture administrative du dossier de réception effectuée une fois toutes les réserves levées</w:t>
            </w:r>
          </w:p>
        </w:tc>
        <w:tc>
          <w:tcPr>
            <w:tcW w:type="dxa" w:w="3324"/>
          </w:tcPr>
          <w:p>
            <w:r/>
            <w:r/>
          </w:p>
        </w:tc>
      </w:tr>
    </w:tbl>
    <w:p/>
    <w:p>
      <w:r>
        <w:rPr>
          <w:b w:val="0"/>
          <w:i/>
          <w:color w:val="404040"/>
        </w:rPr>
        <w:t>Rappel des délais clés : le délai de garantie court dès la réception (2 ans pour les défauts constatés dans ce délai) ; les défauts cachés doivent être avisés immédiatement après leur découverte, au plus tard dans les 5 ans dès la réception (délai de prescription). La libération de la retenue de garantie contre une sûreté de remplacement est possible selon les conditions du contrat : vérifie le pourcentage retenu et la durée prévue.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