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FD6D6D"/>
          <w:sz w:val="20"/>
          <w:szCs w:val="20"/>
        </w:rPr>
        <w:t xml:space="preserve">St Clare Catholic Multi Academy Trust</w:t>
      </w:r>
    </w:p>
    <w:p>
      <w:pPr>
        <w:spacing w:after="80"/>
      </w:pPr>
      <w:r>
        <w:rPr>
          <w:b/>
          <w:bCs/>
          <w:color w:val="33295E"/>
          <w:sz w:val="44"/>
          <w:szCs w:val="44"/>
        </w:rPr>
        <w:t xml:space="preserve">Sixth Form Destinations Report</w:t>
      </w:r>
    </w:p>
    <w:p>
      <w:pPr>
        <w:spacing w:after="320"/>
      </w:pPr>
      <w:r>
        <w:rPr>
          <w:color w:val="64748B"/>
          <w:sz w:val="20"/>
          <w:szCs w:val="20"/>
        </w:rPr>
        <w:t xml:space="preserve">Year 13 cohort, 2023-24 | Generated by AI Assistant</w:t>
      </w:r>
    </w:p>
    <w:p>
      <w:pPr>
        <w:pStyle w:val="Heading2"/>
        <w:spacing w:after="120" w:before="280"/>
      </w:pPr>
      <w:r>
        <w:rPr>
          <w:b/>
          <w:bCs/>
          <w:color w:val="33295E"/>
          <w:sz w:val="28"/>
          <w:szCs w:val="28"/>
        </w:rPr>
        <w:t xml:space="preserve">Executive summary</w:t>
      </w:r>
    </w:p>
    <w:p>
      <w:pPr>
        <w:spacing w:after="160" w:line="320"/>
      </w:pPr>
      <w:r>
        <w:rPr>
          <w:color w:val="334155"/>
          <w:sz w:val="22"/>
          <w:szCs w:val="22"/>
        </w:rPr>
        <w:t xml:space="preserve">Of last year's Year 13 cohort, 62% progressed to higher education, with 8% attending Russell Group universities. 21% entered employment or apprenticeships, 11% took a gap year, and 6% enrolled in further education or retraining.</w:t>
      </w:r>
    </w:p>
    <w:p>
      <w:pPr>
        <w:spacing w:after="160" w:line="320"/>
      </w:pPr>
      <w:r>
        <w:rPr>
          <w:color w:val="334155"/>
          <w:sz w:val="22"/>
          <w:szCs w:val="22"/>
        </w:rPr>
        <w:t xml:space="preserve">Overall destination outcomes are above the national average for this school type, with a four-point rise in higher education progression compared to the previous year.</w:t>
      </w:r>
    </w:p>
    <w:p>
      <w:pPr>
        <w:pStyle w:val="Heading2"/>
        <w:spacing w:after="120" w:before="280"/>
      </w:pPr>
      <w:r>
        <w:rPr>
          <w:b/>
          <w:bCs/>
          <w:color w:val="33295E"/>
          <w:sz w:val="28"/>
          <w:szCs w:val="28"/>
        </w:rPr>
        <w:t xml:space="preserve">Destinations by route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pct" w:w="1250"/>
            <w:shd w:fill="33295E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pct" w:w="1250"/>
            <w:shd w:fill="33295E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pct" w:w="1250"/>
            <w:shd w:fill="33295E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pct" w:w="1250"/>
            <w:shd w:fill="33295E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National</w:t>
            </w:r>
          </w:p>
        </w:tc>
      </w:tr>
      <w:tr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Higher education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58%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62%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Russell Group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6%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8%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Employment / apprenticeship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24%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21%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23%</w:t>
            </w:r>
          </w:p>
        </w:tc>
      </w:tr>
      <w:tr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Gap year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10%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11%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9%</w:t>
            </w:r>
          </w:p>
        </w:tc>
      </w:tr>
      <w:tr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Further education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8%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6%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8%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33295E"/>
          <w:sz w:val="28"/>
          <w:szCs w:val="28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2"/>
          <w:szCs w:val="22"/>
        </w:rPr>
        <w:t xml:space="preserve">Higher education progression rose from 58% to 62%, the highest in five years.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2"/>
          <w:szCs w:val="22"/>
        </w:rPr>
        <w:t xml:space="preserve">Russell Group entry improved by two points, driven by stronger STEM applications.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2"/>
          <w:szCs w:val="22"/>
        </w:rPr>
        <w:t xml:space="preserve">Apprenticeship uptake fell slightly; employer engagement should be reviewed.</w:t>
      </w:r>
    </w:p>
    <w:p>
      <w:pPr>
        <w:pStyle w:val="Heading2"/>
        <w:spacing w:after="120" w:before="280"/>
      </w:pPr>
      <w:r>
        <w:rPr>
          <w:b/>
          <w:bCs/>
          <w:color w:val="33295E"/>
          <w:sz w:val="28"/>
          <w:szCs w:val="28"/>
        </w:rPr>
        <w:t xml:space="preserve">Recommendations</w:t>
      </w:r>
    </w:p>
    <w:p>
      <w:pPr>
        <w:spacing w:after="160" w:line="320"/>
      </w:pPr>
      <w:r>
        <w:rPr>
          <w:color w:val="334155"/>
          <w:sz w:val="22"/>
          <w:szCs w:val="22"/>
        </w:rPr>
        <w:t xml:space="preserve">Expand the careers programme in Year 12 with targeted apprenticeship fairs, and continue the university mentoring scheme that supported Russell Group applications this year.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2026-10-05T07:00:33.371Z</dcterms:created>
  <dcterms:modified xsi:type="dcterms:W3CDTF">2026-10-05T07:00:33.377Z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