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Отчёт о тестировании</w:t>
        <w:br/>
        <w:t>RAG-приложения Lite</w:t>
      </w:r>
    </w:p>
    <w:p>
      <w:pPr>
        <w:pStyle w:val="Subtitle"/>
        <w:jc w:val="center"/>
      </w:pPr>
      <w:r>
        <w:t>Семантический поиск по пяти тематическим документам</w:t>
      </w:r>
    </w:p>
    <w:p>
      <w:pPr>
        <w:jc w:val="center"/>
      </w:pPr>
      <w:r>
        <w:rPr>
          <w:b/>
          <w:color w:val="2E75B6"/>
        </w:rPr>
        <w:t>Локальная генерация · Ollama · RTX 4070 Laptop GPU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Основание</w:t>
            </w:r>
          </w:p>
        </w:tc>
        <w:tc>
          <w:tcPr>
            <w:tcW w:type="dxa" w:w="504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СП Судовое руководство по управлению безопасностью и предотвращению загрязнения</w:t>
            </w:r>
          </w:p>
        </w:tc>
      </w:tr>
      <w:tr>
        <w:tc>
          <w:tcPr>
            <w:tcW w:type="dxa" w:w="504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Версия руководства</w:t>
            </w:r>
          </w:p>
        </w:tc>
        <w:tc>
          <w:tcPr>
            <w:tcW w:type="dxa" w:w="504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29.10.2021</w:t>
            </w:r>
          </w:p>
        </w:tc>
      </w:tr>
      <w:tr>
        <w:tc>
          <w:tcPr>
            <w:tcW w:type="dxa" w:w="504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Модели</w:t>
            </w:r>
          </w:p>
        </w:tc>
        <w:tc>
          <w:tcPr>
            <w:tcW w:type="dxa" w:w="504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qwen3:8b (ответы), bge-m3 (embeddings)</w:t>
            </w:r>
          </w:p>
        </w:tc>
      </w:tr>
      <w:tr>
        <w:tc>
          <w:tcPr>
            <w:tcW w:type="dxa" w:w="504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Дата прогона</w:t>
            </w:r>
          </w:p>
        </w:tc>
        <w:tc>
          <w:tcPr>
            <w:tcW w:type="dxa" w:w="504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23.10.2026</w:t>
            </w:r>
          </w:p>
        </w:tc>
      </w:tr>
    </w:tbl>
    <w:p/>
    <w:p>
      <w:pPr>
        <w:jc w:val="center"/>
      </w:pPr>
      <w:r>
        <w:rPr>
          <w:i/>
        </w:rPr>
        <w:t>Все ответы получены фактическим вызовом локальной LLM; внешние API не использовались.</w:t>
      </w:r>
    </w:p>
    <w:p>
      <w:r>
        <w:br w:type="page"/>
      </w:r>
    </w:p>
    <w:p>
      <w:pPr>
        <w:pStyle w:val="Heading1"/>
      </w:pPr>
      <w:r>
        <w:t>1. Резюме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Сценариев</w:t>
            </w:r>
          </w:p>
        </w:tc>
        <w:tc>
          <w:tcPr>
            <w:tcW w:type="dxa" w:w="252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Успешно</w:t>
            </w:r>
          </w:p>
        </w:tc>
        <w:tc>
          <w:tcPr>
            <w:tcW w:type="dxa" w:w="252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Среднее время</w:t>
            </w:r>
          </w:p>
        </w:tc>
        <w:tc>
          <w:tcPr>
            <w:tcW w:type="dxa" w:w="252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5.39 с</w:t>
            </w:r>
          </w:p>
        </w:tc>
        <w:tc>
          <w:tcPr>
            <w:tcW w:type="dxa" w:w="2521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ПРОЙДЕНО</w:t>
            </w:r>
          </w:p>
        </w:tc>
      </w:tr>
    </w:tbl>
    <w:p>
      <w:r>
        <w:t>Приложение Lite прошло полный фактический прогон. Ответы сопоставлены с текстом руководства, а сценарии вне предметной области завершились контролируемым отказом без выдуманного ответа.</w:t>
      </w:r>
    </w:p>
    <w:p>
      <w:pPr>
        <w:pStyle w:val="Heading1"/>
      </w:pPr>
      <w:r>
        <w:t>2. Проверенная архитектура</w:t>
      </w:r>
    </w:p>
    <w:p>
      <w:pPr>
        <w:pStyle w:val="ListBullet"/>
      </w:pPr>
      <w:r>
        <w:t>Пять тематических документов индексируются как 88 смысловых фрагментов с метаданными.</w:t>
      </w:r>
    </w:p>
    <w:p>
      <w:pPr>
        <w:pStyle w:val="ListBullet"/>
      </w:pPr>
      <w:r>
        <w:t>Вопрос преобразуется моделью bge-m3 в embedding; top-K определяется по cosine similarity.</w:t>
      </w:r>
    </w:p>
    <w:p>
      <w:pPr>
        <w:pStyle w:val="ListBullet"/>
      </w:pPr>
      <w:r>
        <w:t>В qwen3:8b передаются только найденные фрагменты, а пользователю возвращаются использованные источники.</w:t>
      </w:r>
    </w:p>
    <w:p>
      <w:pPr>
        <w:pStyle w:val="ListBullet"/>
      </w:pPr>
      <w:r>
        <w:t>При отсутствии подтверждения приложение выдаёт установленную фразу отказа без источников.</w:t>
      </w:r>
    </w:p>
    <w:p>
      <w:r>
        <w:t>Среда: Ubuntu/Linux, Ollama 0.40.10, NVIDIA GeForce RTX 4070 Laptop GPU (8 ГБ VRAM). При контрольном прогоне обе модели были загружены на GPU на 100%.</w:t>
      </w:r>
    </w:p>
    <w:p>
      <w:r>
        <w:br w:type="page"/>
      </w:r>
    </w:p>
    <w:p>
      <w:pPr>
        <w:pStyle w:val="Heading1"/>
      </w:pPr>
      <w:r>
        <w:t>3. Матрица сценариев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45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93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10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1247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прямой вопрос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Кто несёт ответственность за своевременное подтверждение или возобновление судовых свидетельств?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7.61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перефразированный вопрос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Как часто экипаж должен отрабатывать действия при аварийных ситуациях?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8.52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условие или исключение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Какие судовые свидетельства допускается хранить в копиях, а не в подлинниках?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4.35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два раздела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Что обязан сделать капитан при выявлении недостатка СУБ и как долго затем хранятся оформленные донесения о несоответствиях?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4.61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нет ответа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Какой пароль Wi-Fi установлен в кают-компании судна?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1.85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</w:tbl>
    <w:p>
      <w:r>
        <w:br w:type="page"/>
      </w:r>
    </w:p>
    <w:p>
      <w:pPr>
        <w:pStyle w:val="Heading1"/>
      </w:pPr>
      <w:r>
        <w:t>4. Фактические результаты</w:t>
      </w:r>
    </w:p>
    <w:p>
      <w:pPr>
        <w:pStyle w:val="Heading2"/>
      </w:pPr>
      <w:r>
        <w:t>1. прямой вопрос</w:t>
      </w:r>
    </w:p>
    <w:p>
      <w:r>
        <w:rPr>
          <w:b/>
        </w:rPr>
        <w:t xml:space="preserve">Вопрос: </w:t>
      </w:r>
      <w:r>
        <w:t>Кто несёт ответственность за своевременное подтверждение или возобновление судовых свидетельств?</w:t>
      </w:r>
    </w:p>
    <w:p>
      <w:r>
        <w:rPr>
          <w:b/>
        </w:rPr>
        <w:t xml:space="preserve">Ответ LLM: </w:t>
      </w:r>
      <w:r>
        <w:t>Ответственность за своевременное подтверждение или возобновление судовых свидетельств несёт капитан [Источник: СП Судовое руководство по СУБ — 13. УПРАВЛЕНИЕ ДОКУМЕНТАЦИЕЙ, раздел 13.5.4].</w:t>
      </w:r>
    </w:p>
    <w:p>
      <w:r>
        <w:rPr>
          <w:b/>
          <w:color w:val="2F7534"/>
        </w:rPr>
        <w:t>Оценка: ПРОЙДЕНО</w:t>
      </w:r>
      <w:r>
        <w:t xml:space="preserve"> · 7.61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СП Судовое руководство по СУБ — 13. УПРАВЛЕНИЕ ДОКУМЕНТАЦИЕЙ; раздел «13.5.1 Судовые документы подразделяются на:»; версия 29.10.2021; cosine=0.615</w:t>
      </w:r>
    </w:p>
    <w:p>
      <w:r>
        <w:br w:type="page"/>
      </w:r>
    </w:p>
    <w:p>
      <w:pPr>
        <w:pStyle w:val="Heading2"/>
      </w:pPr>
      <w:r>
        <w:t>2. перефразированный вопрос</w:t>
      </w:r>
    </w:p>
    <w:p>
      <w:r>
        <w:rPr>
          <w:b/>
        </w:rPr>
        <w:t xml:space="preserve">Вопрос: </w:t>
      </w:r>
      <w:r>
        <w:t>Как часто экипаж должен отрабатывать действия при аварийных ситуациях?</w:t>
      </w:r>
    </w:p>
    <w:p>
      <w:r>
        <w:rPr>
          <w:b/>
        </w:rPr>
        <w:t xml:space="preserve">Ответ LLM: </w:t>
      </w:r>
      <w:r>
        <w:t>Экипаж должен отрабатывать действия при аварийных ситуациях ежемесячно, по меньшей мере, в одном учении по оставлению судна и в одном по борьбе с пожаром [Источник: СП Судовое руководство по СУБ — 10. ГОТОВНОСТЬ К АВАРИЙНЫМ СИТУАЦИЯМ, раздел 10.6.4].</w:t>
      </w:r>
    </w:p>
    <w:p>
      <w:r>
        <w:rPr>
          <w:b/>
          <w:color w:val="2F7534"/>
        </w:rPr>
        <w:t>Оценка: ПРОЙДЕНО</w:t>
      </w:r>
      <w:r>
        <w:t xml:space="preserve"> · 8.52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СП Судовое руководство по СУБ — 10. ГОТОВНОСТЬ К АВАРИЙНЫМ СИТУАЦИЯМ; раздел «10.6.4 Судовые учения»; версия 29.10.2021; cosine=0.656</w:t>
      </w:r>
    </w:p>
    <w:p>
      <w:r>
        <w:br w:type="page"/>
      </w:r>
    </w:p>
    <w:p>
      <w:pPr>
        <w:pStyle w:val="Heading2"/>
      </w:pPr>
      <w:r>
        <w:t>3. условие или исключение</w:t>
      </w:r>
    </w:p>
    <w:p>
      <w:r>
        <w:rPr>
          <w:b/>
        </w:rPr>
        <w:t xml:space="preserve">Вопрос: </w:t>
      </w:r>
      <w:r>
        <w:t>Какие судовые свидетельства допускается хранить в копиях, а не в подлинниках?</w:t>
      </w:r>
    </w:p>
    <w:p>
      <w:r>
        <w:rPr>
          <w:b/>
        </w:rPr>
        <w:t xml:space="preserve">Ответ LLM: </w:t>
      </w:r>
      <w:r>
        <w:t>Свидетельство о праве собственности на судно, Лицензии на осуществление перевозок грузов и Документ о соответствии Компании требованиям МКУБ (ДСК / DOC) допускается хранить в копиях, а не в подлинниках [Источник: СП Судовое руководство по СУБ — 13. УПРАВЛЕНИЕ ДОКУМЕНТАЦИЕЙ, раздел 13.5.2].</w:t>
      </w:r>
    </w:p>
    <w:p>
      <w:r>
        <w:rPr>
          <w:b/>
          <w:color w:val="2F7534"/>
        </w:rPr>
        <w:t>Оценка: ПРОЙДЕНО</w:t>
      </w:r>
      <w:r>
        <w:t xml:space="preserve"> · 4.35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СП Судовое руководство по СУБ — 13. УПРАВЛЕНИЕ ДОКУМЕНТАЦИЕЙ; раздел «13.5.1 Судовые документы подразделяются на:»; версия 29.10.2021; cosine=0.5389</w:t>
      </w:r>
    </w:p>
    <w:p>
      <w:r>
        <w:br w:type="page"/>
      </w:r>
    </w:p>
    <w:p>
      <w:pPr>
        <w:pStyle w:val="Heading2"/>
      </w:pPr>
      <w:r>
        <w:t>4. два раздела</w:t>
      </w:r>
    </w:p>
    <w:p>
      <w:r>
        <w:rPr>
          <w:b/>
        </w:rPr>
        <w:t xml:space="preserve">Вопрос: </w:t>
      </w:r>
      <w:r>
        <w:t>Что обязан сделать капитан при выявлении недостатка СУБ и как долго затем хранятся оформленные донесения о несоответствиях?</w:t>
      </w:r>
    </w:p>
    <w:p>
      <w:r>
        <w:rPr>
          <w:b/>
        </w:rPr>
        <w:t xml:space="preserve">Ответ LLM: </w:t>
      </w:r>
      <w:r>
        <w:t>Капитан обязан сообщить Назначенному лицу обо всех выявленных недостатках СУБ в соответствии с положениями раздела 12. Оформленные донесения о несоответствиях хранятся на судах в течение 5 лет [Источник: СП Судовое руководство по СУБ — 13. УПРАВЛЕНИЕ ДОКУМЕНТАЦИЕЙ, раздел 14.1.8].</w:t>
      </w:r>
    </w:p>
    <w:p>
      <w:r>
        <w:rPr>
          <w:b/>
          <w:color w:val="2F7534"/>
        </w:rPr>
        <w:t>Оценка: ПРОЙДЕНО</w:t>
      </w:r>
      <w:r>
        <w:t xml:space="preserve"> · 4.61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СП Судовое руководство по СУБ — 13. УПРАВЛЕНИЕ ДОКУМЕНТАЦИЕЙ; раздел «14.1 Внутренние проверки»; версия 29.10.2021; cosine=0.6807</w:t>
      </w:r>
    </w:p>
    <w:p>
      <w:pPr>
        <w:pStyle w:val="ListBullet"/>
      </w:pPr>
      <w:r>
        <w:t>СП Судовое руководство по СУБ — 6. ОТВЕТСТВЕННОСТЬ И ПОЛНОМОЧИЯ КАПИТАНА; раздел «6.6 Сообщения о недостатках СУБ»; версия 29.10.2021; cosine=0.6787</w:t>
      </w:r>
    </w:p>
    <w:p>
      <w:r>
        <w:br w:type="page"/>
      </w:r>
    </w:p>
    <w:p>
      <w:pPr>
        <w:pStyle w:val="Heading2"/>
      </w:pPr>
      <w:r>
        <w:t>5. нет ответа</w:t>
      </w:r>
    </w:p>
    <w:p>
      <w:r>
        <w:rPr>
          <w:b/>
        </w:rPr>
        <w:t xml:space="preserve">Вопрос: </w:t>
      </w:r>
      <w:r>
        <w:t>Какой пароль Wi-Fi установлен в кают-компании судна?</w:t>
      </w:r>
    </w:p>
    <w:p>
      <w:r>
        <w:rPr>
          <w:b/>
        </w:rPr>
        <w:t xml:space="preserve">Ответ LLM: </w:t>
      </w:r>
      <w:r>
        <w:t>В базе знаний нет подтверждённой информации для ответа на этот вопрос</w:t>
      </w:r>
    </w:p>
    <w:p>
      <w:r>
        <w:rPr>
          <w:b/>
          <w:color w:val="2F7534"/>
        </w:rPr>
        <w:t>Оценка: ПРОЙДЕНО</w:t>
      </w:r>
      <w:r>
        <w:t xml:space="preserve"> · 1.85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Не применяются: сценарий проверяет корректный отказ вне базы знаний.</w:t>
      </w:r>
    </w:p>
    <w:p>
      <w:r>
        <w:br w:type="page"/>
      </w:r>
    </w:p>
    <w:p>
      <w:pPr>
        <w:pStyle w:val="Heading1"/>
      </w:pPr>
      <w:r>
        <w:t>5. Места для скриншотов</w:t>
      </w:r>
    </w:p>
    <w:p>
      <w:pPr>
        <w:pStyle w:val="Heading2"/>
      </w:pPr>
      <w:r>
        <w:t>Скриншот 1. Главный экран и ответ с раскрытым списком источников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5"/>
      </w:tblGrid>
      <w:tr>
        <w:trPr>
          <w:trHeight w:val="4535" w:hRule="exact"/>
        </w:trPr>
        <w:tc>
          <w:tcPr>
            <w:tcW w:type="dxa" w:w="10085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E75B6"/>
                <w:sz w:val="22"/>
              </w:rPr>
              <w:t>ВСТАВИТЬ СКРИНШОТ ПОСЛЕ ЗАПУСКА ВЕБ-ИНТЕРФЕЙСА</w:t>
            </w:r>
          </w:p>
        </w:tc>
      </w:tr>
    </w:tbl>
    <w:p/>
    <w:p>
      <w:pPr>
        <w:pStyle w:val="Heading1"/>
      </w:pPr>
      <w:r>
        <w:t>6. Заключение</w:t>
      </w:r>
    </w:p>
    <w:p>
      <w:r>
        <w:t>Вариант Lite соответствует проверяемым требованиям: семантический векторный поиск, локальная LLM-генерация, привязка ответов к источникам и отказ при отсутствии подтверждённой информации. Результаты этого отчёта воспроизводятся скриптом tests/run_e2e.py.</w:t>
      </w:r>
    </w:p>
    <w:sectPr w:rsidR="00FC693F" w:rsidRPr="0006063C" w:rsidSect="00034616">
      <w:footerReference w:type="default" r:id="rId9"/>
      <w:pgSz w:w="12240" w:h="15840"/>
      <w:pgMar w:top="1020" w:right="964" w:bottom="1304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Lesson 05 · локальный RAG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2E75B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