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t>Отчёт о тестировании</w:t>
        <w:br/>
        <w:t>RAG-приложения Pro</w:t>
      </w:r>
    </w:p>
    <w:p>
      <w:pPr>
        <w:pStyle w:val="Subtitle"/>
        <w:jc w:val="center"/>
      </w:pPr>
      <w:r>
        <w:t>Гибридный поиск по полному 57-страничному руководству</w:t>
      </w:r>
    </w:p>
    <w:p>
      <w:pPr>
        <w:jc w:val="center"/>
      </w:pPr>
      <w:r>
        <w:rPr>
          <w:b/>
          <w:color w:val="2E75B6"/>
        </w:rPr>
        <w:t>Локальная генерация · Ollama · RTX 4070 Laptop GPU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2"/>
        <w:gridCol w:w="5042"/>
      </w:tblGrid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Основание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СП Судовое руководство по управлению безопасностью и предотвращению загрязнения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Версия руководства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29.10.2021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Модели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qwen3:8b (ответы), bge-m3 (embeddings)</w:t>
            </w:r>
          </w:p>
        </w:tc>
      </w:tr>
      <w:tr>
        <w:tc>
          <w:tcPr>
            <w:tcW w:type="dxa" w:w="504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Дата прогона</w:t>
            </w:r>
          </w:p>
        </w:tc>
        <w:tc>
          <w:tcPr>
            <w:tcW w:type="dxa" w:w="504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23.10.2026</w:t>
            </w:r>
          </w:p>
        </w:tc>
      </w:tr>
    </w:tbl>
    <w:p/>
    <w:p>
      <w:pPr>
        <w:jc w:val="center"/>
      </w:pPr>
      <w:r>
        <w:rPr>
          <w:i/>
        </w:rPr>
        <w:t>Все ответы получены фактическим вызовом локальной LLM; внешние API не использовались.</w:t>
      </w:r>
    </w:p>
    <w:p>
      <w:r>
        <w:br w:type="page"/>
      </w:r>
    </w:p>
    <w:p>
      <w:pPr>
        <w:pStyle w:val="Heading1"/>
      </w:pPr>
      <w:r>
        <w:t>1. Резюме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Сценариев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Успешно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Среднее время</w:t>
            </w:r>
          </w:p>
        </w:tc>
        <w:tc>
          <w:tcPr>
            <w:tcW w:type="dxa" w:w="252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3.94 с</w:t>
            </w:r>
          </w:p>
        </w:tc>
        <w:tc>
          <w:tcPr>
            <w:tcW w:type="dxa" w:w="2521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8"/>
              </w:rPr>
              <w:t>ПРОЙДЕНО</w:t>
            </w:r>
          </w:p>
        </w:tc>
      </w:tr>
    </w:tbl>
    <w:p>
      <w:r>
        <w:t>Приложение Pro прошло полный фактический прогон. Ответы сопоставлены с текстом руководства, а сценарии вне предметной области завершились контролируемым отказом без выдуманного ответа.</w:t>
      </w:r>
    </w:p>
    <w:p>
      <w:pPr>
        <w:pStyle w:val="Heading1"/>
      </w:pPr>
      <w:r>
        <w:t>2. Проверенная архитектура</w:t>
      </w:r>
    </w:p>
    <w:p>
      <w:pPr>
        <w:pStyle w:val="ListBullet"/>
      </w:pPr>
      <w:r>
        <w:t>Полное руководство индексируется как 122 смысловых фрагмента с метаданными источника, раздела и версии.</w:t>
      </w:r>
    </w:p>
    <w:p>
      <w:pPr>
        <w:pStyle w:val="ListBullet"/>
      </w:pPr>
      <w:r>
        <w:t>Каждый вопрос автоматически проходит независимый vector search и BM25; RRF выбирает три финальных фрагмента.</w:t>
      </w:r>
    </w:p>
    <w:p>
      <w:pPr>
        <w:pStyle w:val="ListBullet"/>
      </w:pPr>
      <w:r>
        <w:t>Интерфейс показывает источники и отдельную диагностику Vector / BM25 / RRF.</w:t>
      </w:r>
    </w:p>
    <w:p>
      <w:pPr>
        <w:pStyle w:val="ListBullet"/>
      </w:pPr>
      <w:r>
        <w:t>Строгая JSON Schema, отключённый thinking и лимит генерации предотвращают пустые и повторяющиеся ответы.</w:t>
      </w:r>
    </w:p>
    <w:p>
      <w:r>
        <w:t>Среда: Ubuntu/Linux, Ollama 0.40.10, NVIDIA GeForce RTX 4070 Laptop GPU (8 ГБ VRAM). При контрольном прогоне обе модели были загружены на GPU на 100%.</w:t>
      </w:r>
    </w:p>
    <w:p>
      <w:r>
        <w:br w:type="page"/>
      </w:r>
    </w:p>
    <w:p>
      <w:pPr>
        <w:pStyle w:val="Heading1"/>
      </w:pPr>
      <w:r>
        <w:t>3. Матрица сценариев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45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70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93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10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1247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прямой вопрос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Кто назначает капитана судна и кому капитан подчиняется?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5.82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перефразированный вопрос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Что должен сделать командир судна, если обнаружил слабое место в СУБ?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4.49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точный код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Для чего применяется форма Д-8 и сколько лет она хранится?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4.44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тема и код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 форма Д-9 связана с регистрацией несоответствий?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3.46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условие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При каких условиях Компания может назначить дополнительный внутренний аудит?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2.90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исключение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Какие судовые свидетельства разрешено иметь на борту в копиях вместо подлинников?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3.81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два раздела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 капитан готовит экипаж к авариям и каким способом сообщает Компании о выявленных недостатках СУБ?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5.36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срок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Какова максимальная периодичность внутренних проверок и за сколько капитана извещают об аудите?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3.04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обязанность и хранение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Кто контролирует заполнение чек-листов и как долго подписанные чек-листы должны храниться?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4.56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нет ответа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Какова стоимость спутникового интернета на судне в 2026 году?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1.48 с</w:t>
            </w:r>
          </w:p>
        </w:tc>
        <w:tc>
          <w:tcPr>
            <w:tcW w:type="dxa" w:w="2017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ПРОЙДЕНО</w:t>
            </w:r>
          </w:p>
        </w:tc>
      </w:tr>
    </w:tbl>
    <w:p>
      <w:pPr>
        <w:pStyle w:val="Heading1"/>
      </w:pPr>
      <w:r>
        <w:t>4. Фактические результаты</w:t>
      </w:r>
    </w:p>
    <w:p>
      <w:pPr>
        <w:pStyle w:val="Heading2"/>
      </w:pPr>
      <w:r>
        <w:t>1. прямой вопрос</w:t>
      </w:r>
    </w:p>
    <w:p>
      <w:r>
        <w:rPr>
          <w:b/>
        </w:rPr>
        <w:t xml:space="preserve">Вопрос: </w:t>
      </w:r>
      <w:r>
        <w:t>Кто назначает капитана судна и кому капитан подчиняется?</w:t>
      </w:r>
    </w:p>
    <w:p>
      <w:r>
        <w:rPr>
          <w:b/>
        </w:rPr>
        <w:t xml:space="preserve">Ответ LLM: </w:t>
      </w:r>
      <w:r>
        <w:t>Капитана судна назначает генеральный директор ООО «ТК Северный проект» [Источник: Судовое руководство по СУБ, раздел 6.1.1]. Капитан подчиняется непосредственно генеральному директору и выполняет его законные распоряжения [Источник: Судовое руководство по СУБ, раздел 6.1.1].</w:t>
      </w:r>
    </w:p>
    <w:p>
      <w:r>
        <w:rPr>
          <w:b/>
          <w:color w:val="2F7534"/>
        </w:rPr>
        <w:t>Оценка: ПРОЙДЕНО</w:t>
      </w:r>
      <w:r>
        <w:t xml:space="preserve"> · 5.82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«6.1 Общие положения»; версия 29.10.2021; RRF=0.03279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0.67222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6.1 Общие положения 6.1.1 Капитан каждого судна назначается приказом генерального директора ООО «ТК Северный проект» и подчиняется непосредственно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8.1 Введение в должность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0.63877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8.1 Введение в должность членов экипажа 8.1.1 Введения в должность проводится в следующих случаях: - для вновь назначенных на судно членов экипажа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 ЭКИПАЖ СУДНА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0.62195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 xml:space="preserve">## 7. ЭКИПАЖ СУДНА 7.1 В соответствии с Уставом службы на судах ММФ экипаж каждого судна состоит из капитана, других лиц командного состава и судовой 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7.61102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6.1 Общие положения 6.1.1 Капитан каждого судна назначается приказом генерального директора ООО «ТК Северный проект» и подчиняется непосредственно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11.3 Сообщения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5.88928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орма «Донесение и анализ потенциальных инцидентов» может быть использована для информирования об потенциальных инцидентах. Донесение составляется в пр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 ЭКИПАЖ СУДНА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3.88346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2. служба технической эксплуатации обеспечивает техническую эксплуатацию судовых технических средств и корпуса судна (СТСиК), возглавляется старшим ме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0.03279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6.1 Общие положения 6.1.1 Капитан каждого судна назначается приказом генерального директора ООО «ТК Северный проект» и подчиняется непосредственно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 ЭКИПАЖ СУДНА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2. служба технической эксплуатации обеспечивает техническую эксплуатацию судовых технических средств и корпуса судна (СТСиК), возглавляется старшим ме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8.1 Введение в должность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0.01613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8.1 Введение в должность членов экипажа 8.1.1 Введения в должность проводится в следующих случаях: - для вновь назначенных на судно членов экипажа</w:t>
            </w:r>
          </w:p>
        </w:tc>
      </w:tr>
    </w:tbl>
    <w:p>
      <w:r>
        <w:br w:type="page"/>
      </w:r>
    </w:p>
    <w:p>
      <w:pPr>
        <w:pStyle w:val="Heading2"/>
      </w:pPr>
      <w:r>
        <w:t>2. перефразированный вопрос</w:t>
      </w:r>
    </w:p>
    <w:p>
      <w:r>
        <w:rPr>
          <w:b/>
        </w:rPr>
        <w:t xml:space="preserve">Вопрос: </w:t>
      </w:r>
      <w:r>
        <w:t>Что должен сделать командир судна, если обнаружил слабое место в СУБ?</w:t>
      </w:r>
    </w:p>
    <w:p>
      <w:r>
        <w:rPr>
          <w:b/>
        </w:rPr>
        <w:t xml:space="preserve">Ответ LLM: </w:t>
      </w:r>
      <w:r>
        <w:t>Командир судна должен сообщить в Компанию о выявленном слабом месте в СУБ, включая недостатки в документации СУБ, противоречия и неоднозначности в требованиях, недостатки в применении СУБ, а также недостаточную поддержку со стороны Компании [Источник: Судовое руководство по СУБ, раздел 11.1]. Сообщение должно быть оформлено на основании собственных наблюдений и заключений, а также на основании докладов руководителей судовых служб.</w:t>
      </w:r>
    </w:p>
    <w:p>
      <w:r>
        <w:rPr>
          <w:b/>
          <w:color w:val="2F7534"/>
        </w:rPr>
        <w:t>Оценка: ПРОЙДЕНО</w:t>
      </w:r>
      <w:r>
        <w:t xml:space="preserve"> · 4.49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«11.1 Общие положения»; версия 29.10.2021; RRF=0.01639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0.67103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11.1 Общие положения 11.1.1 Сообщения с судов о несоответствиях, авариях и опасных ситуациях являются важным элементом СУБ, позволяющим Компании п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12.9.7 Проверки со стороны Компании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0.61655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#### 12.9.7 Проверки со стороны Компании 12.9.7.1 Согласно план-графика (приложение 1 к Б-16 Береговое руководство по СУБ) ежегодно проводить инспекто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6.6 Сообщения о недостатках СУБ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0.60914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6.6 Сообщения о недостатках СУБ Капитан обязан докладывать Назначенному лицу обо всех выявленных и потенциально возможных недостатках в СУБ в соот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9.28776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11.1.9 Все сообщения о несоответствиях, направляемые с судна должны регистрироваться капитаном в Журнале учета донесений о несоответствиях (форма Д-9)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11.3 Сообщения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6.70159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орма «Донесение и анализ потенциальных инцидентов» может быть использована для информирования об потенциальных инцидентах. Донесение составляется в пр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6.63887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6.7 Обзор и пересмотр СУБ капитаном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0.03078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6.7 Обзор и пересмотр СУБ капитаном 6.7.1 При сдаче судна капитан обязан предоставить в СУС отчет по функционированию СУБ за период его нахождения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0.03058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0.01639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11.1 Общие положения 11.1.1 Сообщения с судов о несоответствиях, авариях и опасных ситуациях являются важным элементом СУБ, позволяющим Компании п</w:t>
            </w:r>
          </w:p>
        </w:tc>
      </w:tr>
    </w:tbl>
    <w:p>
      <w:r>
        <w:br w:type="page"/>
      </w:r>
    </w:p>
    <w:p>
      <w:pPr>
        <w:pStyle w:val="Heading2"/>
      </w:pPr>
      <w:r>
        <w:t>3. точный код</w:t>
      </w:r>
    </w:p>
    <w:p>
      <w:r>
        <w:rPr>
          <w:b/>
        </w:rPr>
        <w:t xml:space="preserve">Вопрос: </w:t>
      </w:r>
      <w:r>
        <w:t>Для чего применяется форма Д-8 и сколько лет она хранится?</w:t>
      </w:r>
    </w:p>
    <w:p>
      <w:r>
        <w:rPr>
          <w:b/>
        </w:rPr>
        <w:t xml:space="preserve">Ответ LLM: </w:t>
      </w:r>
      <w:r>
        <w:t>Форма Д-8 применяется для оформления сообщений о несоответствиях/опасных ситуациях, включая указание причин, предпринятых или необходимых мер по устранению и предложенных корректирующих действий. Форма Д-8 хранится на судах в соответствии с номенклатурой дел судна в течение 5 лет [Источник: Судовое руководство по СУБ, раздел 14.1.8].</w:t>
      </w:r>
    </w:p>
    <w:p>
      <w:r>
        <w:rPr>
          <w:b/>
          <w:color w:val="2F7534"/>
        </w:rPr>
        <w:t>Оценка: ПРОЙДЕНО</w:t>
      </w:r>
      <w:r>
        <w:t xml:space="preserve"> · 4.44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«11.1 Общие положения»; версия 29.10.2021; RRF=0.03252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«14.1 Внутренние проверки»; версия 29.10.2021; RRF=0.03132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0.41778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 СЕРТИФИКАЦИЯ, ПРОВЕРКИ И КОНТРОЛЬ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0.39064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промежуточное (один раз в период действия СвУБ) для судна; возобновляющее (каждые 5 лет) для Компании и судна; дополнительное для Компании и судна (по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0.38672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9.15516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аудита. В процессе проверки весь персонал должен оказывать содействие аудитору в его работе. По просьбе аудитора ему должны быть предоставлены все нео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6.86967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Судовые инструкции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6.19664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Судовые инструкции 13.4.1 При необходимости, по решению капитана или по указанию СУС, на судне могут разрабатываться дополнительные инструкции, ка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0.03252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 СЕРТИФИКАЦИЯ, ПРОВЕРКИ И КОНТРОЛЬ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0.03175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промежуточное (один раз в период действия СвУБ) для судна; возобновляющее (каждые 5 лет) для Компании и судна; дополнительное для Компании и судна (по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0.03132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аудита. В процессе проверки весь персонал должен оказывать содействие аудитору в его работе. По просьбе аудитора ему должны быть предоставлены все нео</w:t>
            </w:r>
          </w:p>
        </w:tc>
      </w:tr>
    </w:tbl>
    <w:p>
      <w:r>
        <w:br w:type="page"/>
      </w:r>
    </w:p>
    <w:p>
      <w:pPr>
        <w:pStyle w:val="Heading2"/>
      </w:pPr>
      <w:r>
        <w:t>4. тема и код</w:t>
      </w:r>
    </w:p>
    <w:p>
      <w:r>
        <w:rPr>
          <w:b/>
        </w:rPr>
        <w:t xml:space="preserve">Вопрос: </w:t>
      </w:r>
      <w:r>
        <w:t>Как форма Д-9 связана с регистрацией несоответствий?</w:t>
      </w:r>
    </w:p>
    <w:p>
      <w:r>
        <w:rPr>
          <w:b/>
        </w:rPr>
        <w:t xml:space="preserve">Ответ LLM: </w:t>
      </w:r>
      <w:r>
        <w:t>Форма Д-9 используется для регистрации всех сообщений о несоответствиях, направляемых с судна. Капитан должен вносить записи в этот журнал по каждому сообщению о несоответствии [Источник: Судовое руководство по СУБ, раздел 11.1].</w:t>
      </w:r>
    </w:p>
    <w:p>
      <w:r>
        <w:rPr>
          <w:b/>
          <w:color w:val="2F7534"/>
        </w:rPr>
        <w:t>Оценка: ПРОЙДЕНО</w:t>
      </w:r>
      <w:r>
        <w:t xml:space="preserve"> · 3.46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«11.1 Общие положения»; версия 29.10.2021; RRF=0.03252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0.62745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11.1.9 Все сообщения о несоответствиях, направляемые с судна должны регистрироваться капитаном в Журнале учета донесений о несоответствиях (форма Д-9)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0.54424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0.52943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8.84881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аудита. В процессе проверки весь персонал должен оказывать содействие аудитору в его работе. По просьбе аудитора ему должны быть предоставлены все нео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7.5271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11.1.9 Все сообщения о несоответствиях, направляемые с судна должны регистрироваться капитаном в Журнале учета донесений о несоответствиях (форма Д-9)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6.11155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0.03252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11.1.9 Все сообщения о несоответствиях, направляемые с судна должны регистрироваться капитаном в Журнале учета донесений о несоответствиях (форма Д-9)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аудита. В процессе проверки весь персонал должен оказывать содействие аудитору в его работе. По просьбе аудитора ему должны быть предоставлены все нео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общения об опасных ситуациях в море, корректирующие действия по которым могут быть предприняты по приходу в порт, и авариях в порту передаются в соотв</w:t>
            </w:r>
          </w:p>
        </w:tc>
      </w:tr>
    </w:tbl>
    <w:p>
      <w:r>
        <w:br w:type="page"/>
      </w:r>
    </w:p>
    <w:p>
      <w:pPr>
        <w:pStyle w:val="Heading2"/>
      </w:pPr>
      <w:r>
        <w:t>5. условие</w:t>
      </w:r>
    </w:p>
    <w:p>
      <w:r>
        <w:rPr>
          <w:b/>
        </w:rPr>
        <w:t xml:space="preserve">Вопрос: </w:t>
      </w:r>
      <w:r>
        <w:t>При каких условиях Компания может назначить дополнительный внутренний аудит?</w:t>
      </w:r>
    </w:p>
    <w:p>
      <w:r>
        <w:rPr>
          <w:b/>
        </w:rPr>
        <w:t xml:space="preserve">Ответ LLM: </w:t>
      </w:r>
      <w:r>
        <w:t>Компания может назначить дополнительный внутренний аудит в случае выявления значительных несоответствий или опасных ситуаций [Источник: Судовое руководство по СУБ, раздел 14.1.2].</w:t>
      </w:r>
    </w:p>
    <w:p>
      <w:r>
        <w:rPr>
          <w:b/>
          <w:color w:val="2F7534"/>
        </w:rPr>
        <w:t>Оценка: ПРОЙДЕНО</w:t>
      </w:r>
      <w:r>
        <w:t xml:space="preserve"> · 2.90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«14.1 Внутренние проверки»; версия 29.10.2021; RRF=0.0311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0.6316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14.1 Внутренние проверки 14.1.1 Для проверки соответствия требованиям СУБ Компания проводит периодические внутренние проверки. Внутренние проверки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0.56352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аудита. В процессе проверки весь персонал должен оказывать содействие аудитору в его работе. По просьбе аудитора ему должны быть предоставлены все нео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 СЕРТИФИКАЦИЯ, ПРОВЕРКИ И КОНТРОЛЬ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0.5559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промежуточное (один раз в период действия СвУБ) для судна; возобновляющее (каждые 5 лет) для Компании и судна; дополнительное для Компании и судна (по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9.4538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10.6 Обучение и подготовка экипажа на судне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6.23323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труктаж может касаться различных частей судовых спасательных средств и судовых средств пожаротушения, однако все судовые спасательные средства и судов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12.3 Техническое обслуживание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4.9351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Журнал замера сопротивления ЭД-4.8. Если на судне не предусмотрена должность 4МХ; его обязанности и ведения журнала по заведованию выполняет СМХ, 2М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14.1 Внутренние проверки 14.1.1 Для проверки соответствия требованиям СУБ Компания проводит периодические внутренние проверки. Внутренние проверки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2. ОПРЕДЕЛЕНИЯ И СОКРАЩЕНИЯ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0.03031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 2. ОПРЕДЕЛЕНИЯ И СОКРАЩЕНИЯ Администрация - правительство государства, под флагом которого судно имеет право плавания. Аудит системы управления без</w:t>
            </w:r>
          </w:p>
        </w:tc>
      </w:tr>
    </w:tbl>
    <w:p>
      <w:r>
        <w:br w:type="page"/>
      </w:r>
    </w:p>
    <w:p>
      <w:pPr>
        <w:pStyle w:val="Heading2"/>
      </w:pPr>
      <w:r>
        <w:t>6. исключение</w:t>
      </w:r>
    </w:p>
    <w:p>
      <w:r>
        <w:rPr>
          <w:b/>
        </w:rPr>
        <w:t xml:space="preserve">Вопрос: </w:t>
      </w:r>
      <w:r>
        <w:t>Какие судовые свидетельства разрешено иметь на борту в копиях вместо подлинников?</w:t>
      </w:r>
    </w:p>
    <w:p>
      <w:r>
        <w:rPr>
          <w:b/>
        </w:rPr>
        <w:t xml:space="preserve">Ответ LLM: </w:t>
      </w:r>
      <w:r>
        <w:t>Судовые свидетельства, разрешено иметь на борту в копиях вместо подлинников, это Свидетельство о праве собственности на судно, Лицензии на осуществление перевозок грузов и Документ о соответствии Компании требованиям МКУБ (ДСК / DOC). [Источник: Судовое руководство по СУБ, раздел 13.5.2]</w:t>
      </w:r>
    </w:p>
    <w:p>
      <w:r>
        <w:rPr>
          <w:b/>
          <w:color w:val="2F7534"/>
        </w:rPr>
        <w:t>Оценка: ПРОЙДЕНО</w:t>
      </w:r>
      <w:r>
        <w:t xml:space="preserve"> · 3.81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«13.5 Судовые документы»; версия 29.10.2021; RRF=0.03252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0.59324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13.5 Судовые документы 13.5.1 Судовые документы подразделяются на: свидетельства и акты, выдаваемые уполномоченными органами, и подтверждающими вы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0.54493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13.3 Внутренние документы СУБ для судна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0.54401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приложения к нему). При использовании электронных версий на каждый документ распечатывается соответствующий лист ознакомления. Подписанные листы ознак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9.93785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9.07283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13.5 Судовые документы 13.5.1 Судовые документы подразделяются на: свидетельства и акты, выдаваемые уполномоченными органами, и подтверждающими вы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10.5 Береговое обучение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7.69026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10.5 Береговое обучение 10.5.1 Каждый член экипажа, нанимаемый на суда Компании, должен иметь свидетельства (см. Приложение Д-3) о прохождении обя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0.03252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0.03252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13.5 Судовые документы 13.5.1 Судовые документы подразделяются на: свидетельства и акты, выдаваемые уполномоченными органами, и подтверждающими вы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0.03008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13.5.9 Капитан несет ответственность за сохранность судовых документов, надлежащее ведение и своевременное заполнение отчетных документов. 13.5.10 Есл</w:t>
            </w:r>
          </w:p>
        </w:tc>
      </w:tr>
    </w:tbl>
    <w:p>
      <w:r>
        <w:br w:type="page"/>
      </w:r>
    </w:p>
    <w:p>
      <w:pPr>
        <w:pStyle w:val="Heading2"/>
      </w:pPr>
      <w:r>
        <w:t>7. два раздела</w:t>
      </w:r>
    </w:p>
    <w:p>
      <w:r>
        <w:rPr>
          <w:b/>
        </w:rPr>
        <w:t xml:space="preserve">Вопрос: </w:t>
      </w:r>
      <w:r>
        <w:t>Как капитан готовит экипаж к авариям и каким способом сообщает Компании о выявленных недостатках СУБ?</w:t>
      </w:r>
    </w:p>
    <w:p>
      <w:r>
        <w:rPr>
          <w:b/>
        </w:rPr>
        <w:t xml:space="preserve">Ответ LLM: </w:t>
      </w:r>
      <w:r>
        <w:t>Капитан готовит экипаж к авариям путем побуждения его к соблюдению Политики Компании и требований СУБ, включая личные беседы с членами экипажа и участие в учебах и тренировках [Источник: Судовое руководство по СУБ, раздел 6.4]. Сообщение о выявленных недостатках СУБ осуществляется через доклад Назначенному лицу обо всех выявленных и потенциально возможных недостатках в соответствии с положениями раздела 12 [Источник: Судовое руководство по СУБ, раздел 6.6].</w:t>
      </w:r>
    </w:p>
    <w:p>
      <w:r>
        <w:rPr>
          <w:b/>
          <w:color w:val="2F7534"/>
        </w:rPr>
        <w:t>Оценка: ПРОЙДЕНО</w:t>
      </w:r>
      <w:r>
        <w:t xml:space="preserve"> · 5.36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«6.6 Сообщения о недостатках СУБ»; версия 29.10.2021; RRF=0.03202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«6.4 Побуждение экипажа к соблюдению Политики Компании и требований СУБ»; версия 29.10.2021; RRF=0.03078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0.69205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11.1 Общие положения 11.1.1 Сообщения с судов о несоответствиях, авариях и опасных ситуациях являются важным элементом СУБ, позволяющим Компании п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0.63666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ний отложено проверяющими на определенный период (14 дней, месяц, 3х месяцев до следующего порта и т.д.), капитан должен принять меры для устранения 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6.7 Обзор и пересмотр СУБ капитаном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0.61971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6.7 Обзор и пересмотр СУБ капитаном 6.7.1 При сдаче судна капитан обязан предоставить в СУС отчет по функционированию СУБ за период его нахождения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6.6 Сообщения о недостатках СУБ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15.78797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6.6 Сообщения о недостатках СУБ Капитан обязан докладывать Назначенному лицу обо всех выявленных и потенциально возможных недостатках в СУБ в соот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11.03734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11.1.4 Старший механик и старший помощник, по кругу своих обязанностей, должны докладывать капитану: случаи и обстоятельства любых повреждений и отказ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11.00572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14.1 Внутренние проверки 14.1.1 Для проверки соответствия требованиям СУБ Компания проводит периодические внутренние проверки. Внутренние проверки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6.6 Сообщения о недостатках СУБ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6.6 Сообщения о недостатках СУБ Капитан обязан докладывать Назначенному лицу обо всех выявленных и потенциально возможных недостатках в СУБ в соот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0.03151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ний отложено проверяющими на определенный период (14 дней, месяц, 3х месяцев до следующего порта и т.д.), капитан должен принять меры для устранения 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6.4 Побуждение экипажа к соблюдению Политики Компании и требований СУБ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0.03078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6.4 Побуждение экипажа к соблюдению Политики Компании и требований СУБ 6.4.1 Капитан несет ответственность за побуждение экипажа к соблюдению Поли</w:t>
            </w:r>
          </w:p>
        </w:tc>
      </w:tr>
    </w:tbl>
    <w:p>
      <w:r>
        <w:br w:type="page"/>
      </w:r>
    </w:p>
    <w:p>
      <w:pPr>
        <w:pStyle w:val="Heading2"/>
      </w:pPr>
      <w:r>
        <w:t>8. срок</w:t>
      </w:r>
    </w:p>
    <w:p>
      <w:r>
        <w:rPr>
          <w:b/>
        </w:rPr>
        <w:t xml:space="preserve">Вопрос: </w:t>
      </w:r>
      <w:r>
        <w:t>Какова максимальная периодичность внутренних проверок и за сколько капитана извещают об аудите?</w:t>
      </w:r>
    </w:p>
    <w:p>
      <w:r>
        <w:rPr>
          <w:b/>
        </w:rPr>
        <w:t xml:space="preserve">Ответ LLM: </w:t>
      </w:r>
      <w:r>
        <w:t>Максимальная периодичность внутренних проверок не превышает 12 месяцев. Капитана извещают об аудите не позднее, чем за месяц до назначенной даты [Источник: Судовое руководство по СУБ, раздел 14.1].</w:t>
      </w:r>
    </w:p>
    <w:p>
      <w:r>
        <w:rPr>
          <w:b/>
          <w:color w:val="2F7534"/>
        </w:rPr>
        <w:t>Оценка: ПРОЙДЕНО</w:t>
      </w:r>
      <w:r>
        <w:t xml:space="preserve"> · 3.04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«14.1 Внутренние проверки»; версия 29.10.2021; RRF=0.01639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0.71672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14.1 Внутренние проверки 14.1.1 Для проверки соответствия требованиям СУБ Компания проводит периодические внутренние проверки. Внутренние проверки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0.64135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ний отложено проверяющими на определенный период (14 дней, месяц, 3х месяцев до следующего порта и т.д.), капитан должен принять меры для устранения 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 СЕРТИФИКАЦИЯ, ПРОВЕРКИ И КОНТРОЛЬ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0.63278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15.12 Капитан должен направить отчет о выполнении КД на судне Назначенному лицу. НЛ направляет отчет о выполнении КД в ПО, не позднее 3 месяцев от дат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11.03627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11.2 Проверки судна инспектирующими органами 11.2.1 Определения: PSC - контроль государства порта; FSC - контроль государства флага. 11.2.2 Контро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9.1974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8.4 Подготовка к действиям при авариях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6.92648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Другие вопросы по усмотрению судового комитета по безопасности. Перечень дополнительных вопросов, подлежащих изучению, обсуждению и решению на совещан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11.2 Проверки судна инспектирующими органами 11.2.1 Определения: PSC - контроль государства порта; FSC - контроль государства флага. 11.2.2 Контро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0.01639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14.1 Внутренние проверки 14.1.1 Для проверки соответствия требованиям СУБ Компания проводит периодические внутренние проверки. Внутренние проверки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14.1 Внутренние проверки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0.01613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- разработка новых и корректировка существующих процедур СУБ, инструкций по судовым операциям и техническому обслуживанию СТС; - дополнительная подгот</w:t>
            </w:r>
          </w:p>
        </w:tc>
      </w:tr>
    </w:tbl>
    <w:p>
      <w:r>
        <w:br w:type="page"/>
      </w:r>
    </w:p>
    <w:p>
      <w:pPr>
        <w:pStyle w:val="Heading2"/>
      </w:pPr>
      <w:r>
        <w:t>9. обязанность и хранение</w:t>
      </w:r>
    </w:p>
    <w:p>
      <w:r>
        <w:rPr>
          <w:b/>
        </w:rPr>
        <w:t xml:space="preserve">Вопрос: </w:t>
      </w:r>
      <w:r>
        <w:t>Кто контролирует заполнение чек-листов и как долго подписанные чек-листы должны храниться?</w:t>
      </w:r>
    </w:p>
    <w:p>
      <w:r>
        <w:rPr>
          <w:b/>
        </w:rPr>
        <w:t xml:space="preserve">Ответ LLM: </w:t>
      </w:r>
      <w:r>
        <w:t>Контроль за заполнением чек-листов осуществляется капитаном [Источник: Судовое руководство по СУБ, раздел 13.5.10]. Подписанные чек-листы должны храниться на судне в течение года после оформления, для контроля со стороны руководства Компании и предъявления при внешних аудитах СУБ [Источник: Судовое руководство по СУБ, раздел 13.5.14].</w:t>
      </w:r>
    </w:p>
    <w:p>
      <w:r>
        <w:rPr>
          <w:b/>
          <w:color w:val="2F7534"/>
        </w:rPr>
        <w:t>Оценка: ПРОЙДЕНО</w:t>
      </w:r>
      <w:r>
        <w:t xml:space="preserve"> · 4.56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«13.5 Судовые документы»; версия 29.10.2021; RRF=0.03279</w:t>
      </w:r>
    </w:p>
    <w:p>
      <w:pPr>
        <w:pStyle w:val="ListBullet"/>
      </w:pPr>
      <w:r>
        <w:t>СП Судовое руководство по управлению безопасностью и предотвращением загрязнения; раздел «8.1 Введение в должность членов экипажа»; версия 29.10.2021; RRF=0.0315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0.63215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13.5.9 Капитан несет ответственность за сохранность судовых документов, надлежащее ведение и своевременное заполнение отчетных документов. 13.5.10 Есл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11.2 Проверки судна инспектирующими органами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0.52163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11.2 Проверки судна инспектирующими органами 11.2.1 Определения: PSC - контроль государства порта; FSC - контроль государства флага. 11.2.2 Контро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8.1 Введение в должность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0.51993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Акты подписываются сдающим и принимающим лицами и передаются капитану. Акты приема - передачи должны храниться на судне в течение одного года и направ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22.4178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13.5.9 Капитан несет ответственность за сохранность судовых документов, надлежащее ведение и своевременное заполнение отчетных документов. 13.5.10 Есл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11.3 Сообщения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8.52574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орма «Донесение и анализ потенциальных инцидентов» может быть использована для информирования об потенциальных инцидентах. Донесение составляется в пр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 СУДОВЫЕ ОПЕРАЦИИ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7.55787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операции с мусором, нефтесодержащими и сточными водами; выполнением опасных работ на судне; плавание в сложных условиях; процедуры радиосвязи; организ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 Судовые документы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0.03279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13.5.9 Капитан несет ответственность за сохранность судовых документов, надлежащее ведение и своевременное заполнение отчетных документов. 13.5.10 Есл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8.1 Введение в должность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Акты подписываются сдающим и принимающим лицами и передаются капитану. Акты приема - передачи должны храниться на судне в течение одного года и направ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 СУДОВЫЕ ОПЕРАЦИИ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0.03102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операции с мусором, нефтесодержащими и сточными водами; выполнением опасных работ на судне; плавание в сложных условиях; процедуры радиосвязи; организ</w:t>
            </w:r>
          </w:p>
        </w:tc>
      </w:tr>
    </w:tbl>
    <w:p>
      <w:r>
        <w:br w:type="page"/>
      </w:r>
    </w:p>
    <w:p>
      <w:pPr>
        <w:pStyle w:val="Heading2"/>
      </w:pPr>
      <w:r>
        <w:t>10. нет ответа</w:t>
      </w:r>
    </w:p>
    <w:p>
      <w:r>
        <w:rPr>
          <w:b/>
        </w:rPr>
        <w:t xml:space="preserve">Вопрос: </w:t>
      </w:r>
      <w:r>
        <w:t>Какова стоимость спутникового интернета на судне в 2026 году?</w:t>
      </w:r>
    </w:p>
    <w:p>
      <w:r>
        <w:rPr>
          <w:b/>
        </w:rPr>
        <w:t xml:space="preserve">Ответ LLM: </w:t>
      </w:r>
      <w:r>
        <w:t>В базе знаний нет подтверждённой информации для ответа на этот вопрос</w:t>
      </w:r>
    </w:p>
    <w:p>
      <w:r>
        <w:rPr>
          <w:b/>
          <w:color w:val="2F7534"/>
        </w:rPr>
        <w:t>Оценка: ПРОЙДЕНО</w:t>
      </w:r>
      <w:r>
        <w:t xml:space="preserve"> · 1.48 с</w:t>
      </w:r>
    </w:p>
    <w:p>
      <w:r>
        <w:rPr>
          <w:b/>
        </w:rPr>
        <w:t>Подтверждающие источники:</w:t>
      </w:r>
    </w:p>
    <w:p>
      <w:pPr>
        <w:pStyle w:val="ListBullet"/>
      </w:pPr>
      <w:r>
        <w:t>Не применяются: сценарий проверяет корректный отказ вне базы знаний.</w:t>
      </w:r>
    </w:p>
    <w:p>
      <w:pPr>
        <w:pStyle w:val="Heading3"/>
      </w:pPr>
      <w:r>
        <w:t>Диагностика поиска (первые три позиции каждого канала):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102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Канал</w:t>
            </w:r>
          </w:p>
        </w:tc>
        <w:tc>
          <w:tcPr>
            <w:tcW w:type="dxa" w:w="454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№</w:t>
            </w:r>
          </w:p>
        </w:tc>
        <w:tc>
          <w:tcPr>
            <w:tcW w:type="dxa" w:w="2268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850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Score</w:t>
            </w:r>
          </w:p>
        </w:tc>
        <w:tc>
          <w:tcPr>
            <w:tcW w:type="dxa" w:w="4762"/>
            <w:vAlign w:val="center"/>
            <w:shd w:fill="2E75B6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Фрагмент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0.40373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3. ЦЕЛИ И ПРИНЦИПЫ СИСТЕМЫ УПРАВЛЕНИЯ БЕЗОПАСНОСТЬЮ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0.40357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так же входят наставления, руководства и другие документы, разрабатываемые Компанией и на судах в соответствии с требованиями обязательных нормативных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Vector search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3. ЦЕЛИ И ПРИНЦИПЫ СИСТЕМЫ УПРАВЛЕНИЯ БЕЗОПАСНОСТЬЮ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0.39793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 xml:space="preserve">All officers should have adequate knowledge of English that allow them to communicate freely on professional issues. 3.6 СУБ распространяется на суда 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11.3 Сообщения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5.94458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орма «Донесение и анализ потенциальных инцидентов» может быть использована для информирования об потенциальных инцидентах. Донесение составляется в пр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8. ОЗНАКОМЛЕНИЕ И ПОДГОТОВКА ПЕРСОНАЛА НА СУДНЕ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2.53534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 8. ОЗНАКОМЛЕНИЕ И ПОДГОТОВКА ПЕРСОНАЛА НА СУДНЕ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BM25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9. СУДОВЫЕ ОПЕРАЦИИ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2.32214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операции с мусором, нефтесодержащими и сточными водами; выполнением опасных работ на судне; плавание в сложных условиях; процедуры радиосвязи; организ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12.9.1 Надзор признанных органов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0.03054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обязан обеспечить наличие на судне лиц, присутствие которых обязательно при проведении санитарного осмотра или карантинного досмотра. Отсутствие предс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2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13.1 Общие положения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0.01639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### 13.1 Общие положения 13.1.1 Каждое судно должно иметь на борту комплект документов, относящихся к СУБ, включая: международные документы (конвенции</w:t>
            </w:r>
          </w:p>
        </w:tc>
      </w:tr>
      <w:tr>
        <w:trPr>
          <w:cantSplit/>
        </w:trPr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Итоговый контекст RRF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11.3 Сообщения членов экипажа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0.01639</w:t>
            </w:r>
          </w:p>
        </w:tc>
        <w:tc>
          <w:tcPr>
            <w:tcW w:type="dxa" w:w="2017"/>
            <w:vAlign w:val="center"/>
          </w:tcPr>
          <w:p>
            <w:r/>
            <w:r>
              <w:rPr>
                <w:rFonts w:ascii="Aptos" w:hAnsi="Aptos"/>
                <w:b w:val="0"/>
                <w:sz w:val="12"/>
              </w:rPr>
              <w:t>орма «Донесение и анализ потенциальных инцидентов» может быть использована для информирования об потенциальных инцидентах. Донесение составляется в пр</w:t>
            </w:r>
          </w:p>
        </w:tc>
      </w:tr>
    </w:tbl>
    <w:p>
      <w:r>
        <w:br w:type="page"/>
      </w:r>
    </w:p>
    <w:p>
      <w:pPr>
        <w:pStyle w:val="Heading1"/>
      </w:pPr>
      <w:r>
        <w:t>5. Места для скриншотов</w:t>
      </w:r>
    </w:p>
    <w:p>
      <w:pPr>
        <w:pStyle w:val="Heading2"/>
      </w:pPr>
      <w:r>
        <w:t>Скриншот 1. Главный экран и ответ с раскрытым списком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5"/>
      </w:tblGrid>
      <w:tr>
        <w:trPr>
          <w:trHeight w:val="4535" w:hRule="exact"/>
        </w:trPr>
        <w:tc>
          <w:tcPr>
            <w:tcW w:type="dxa" w:w="1008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E75B6"/>
                <w:sz w:val="22"/>
              </w:rPr>
              <w:t>ВСТАВИТЬ СКРИНШОТ ПОСЛЕ ЗАПУСКА ВЕБ-ИНТЕРФЕЙСА</w:t>
            </w:r>
          </w:p>
        </w:tc>
      </w:tr>
    </w:tbl>
    <w:p/>
    <w:p>
      <w:pPr>
        <w:pStyle w:val="Heading2"/>
      </w:pPr>
      <w:r>
        <w:t>Скриншот 2. Раскрытая диагностика Vector / BM25 / итоговый RRF-контекст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5"/>
      </w:tblGrid>
      <w:tr>
        <w:trPr>
          <w:trHeight w:val="4535" w:hRule="exact"/>
        </w:trPr>
        <w:tc>
          <w:tcPr>
            <w:tcW w:type="dxa" w:w="1008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E75B6"/>
                <w:sz w:val="22"/>
              </w:rPr>
              <w:t>ВСТАВИТЬ СКРИНШОТ ПОСЛЕ ЗАПУСКА ВЕБ-ИНТЕРФЕЙСА</w:t>
            </w:r>
          </w:p>
        </w:tc>
      </w:tr>
    </w:tbl>
    <w:p/>
    <w:p>
      <w:pPr>
        <w:pStyle w:val="Heading1"/>
      </w:pPr>
      <w:r>
        <w:t>6. Заключение</w:t>
      </w:r>
    </w:p>
    <w:p>
      <w:r>
        <w:t>Вариант Pro соответствует проверяемым требованиям: гибридный поиск Vector + BM25 с объединением RRF, локальная LLM-генерация, привязка ответов к источникам и отказ при отсутствии подтверждённой информации. Результаты этого отчёта воспроизводятся скриптом tests/run_e2e.py.</w:t>
      </w:r>
    </w:p>
    <w:sectPr w:rsidR="00FC693F" w:rsidRPr="0006063C" w:rsidSect="00034616">
      <w:footerReference w:type="default" r:id="rId9"/>
      <w:pgSz w:w="12240" w:h="15840"/>
      <w:pgMar w:top="1020" w:right="964" w:bottom="1304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Lesson 05 · локальный RAG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2E75B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