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2481" w:rsidRPr="00792CB1" w:rsidRDefault="00000000" w:rsidP="00792CB1">
      <w:pPr>
        <w:ind w:firstLineChars="0" w:firstLine="0"/>
        <w:jc w:val="center"/>
        <w:outlineLvl w:val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92CB1">
        <w:rPr>
          <w:rFonts w:ascii="Times New Roman" w:eastAsia="宋体" w:hAnsi="Times New Roman" w:cs="Times New Roman"/>
          <w:b/>
          <w:bCs/>
          <w:sz w:val="28"/>
          <w:szCs w:val="28"/>
        </w:rPr>
        <w:t>WIM</w:t>
      </w:r>
      <w:r w:rsidRPr="00792CB1">
        <w:rPr>
          <w:rFonts w:ascii="Times New Roman" w:eastAsia="宋体" w:hAnsi="Times New Roman" w:cs="Times New Roman"/>
          <w:b/>
          <w:bCs/>
          <w:sz w:val="28"/>
          <w:szCs w:val="28"/>
        </w:rPr>
        <w:t>（动态承重系统）数据分析报告</w:t>
      </w:r>
    </w:p>
    <w:p w:rsidR="00792CB1" w:rsidRDefault="00792CB1" w:rsidP="00792CB1">
      <w:pPr>
        <w:ind w:firstLine="482"/>
        <w:rPr>
          <w:rFonts w:ascii="宋体" w:eastAsia="宋体" w:hAnsi="宋体" w:cs="Times New Roman"/>
          <w:b/>
          <w:bCs/>
        </w:rPr>
      </w:pPr>
    </w:p>
    <w:p w:rsidR="00002481" w:rsidRDefault="00000000" w:rsidP="00792CB1">
      <w:pPr>
        <w:ind w:firstLine="482"/>
        <w:rPr>
          <w:rFonts w:ascii="宋体" w:eastAsia="宋体" w:hAnsi="宋体" w:cs="Times New Roman"/>
          <w:b/>
          <w:bCs/>
        </w:rPr>
      </w:pPr>
      <w:r w:rsidRPr="00792CB1">
        <w:rPr>
          <w:rFonts w:ascii="宋体" w:eastAsia="宋体" w:hAnsi="宋体" w:cs="Times New Roman"/>
          <w:b/>
          <w:bCs/>
        </w:rPr>
        <w:t>1. 总体车辆类型占比分析</w:t>
      </w:r>
    </w:p>
    <w:p w:rsidR="00792CB1" w:rsidRPr="00792CB1" w:rsidRDefault="00792CB1" w:rsidP="00792CB1">
      <w:pPr>
        <w:ind w:firstLine="482"/>
        <w:rPr>
          <w:rFonts w:ascii="宋体" w:eastAsia="宋体" w:hAnsi="宋体" w:cs="Times New Roman"/>
          <w:b/>
          <w:bCs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分析方法：使用</w:t>
      </w:r>
      <w:r w:rsidRPr="00792CB1">
        <w:rPr>
          <w:rFonts w:ascii="Times New Roman" w:hAnsi="Times New Roman" w:cs="Times New Roman"/>
        </w:rPr>
        <w:t>Python</w:t>
      </w:r>
      <w:r w:rsidRPr="00792CB1">
        <w:rPr>
          <w:rFonts w:ascii="Times New Roman" w:hAnsi="Times New Roman" w:cs="Times New Roman"/>
        </w:rPr>
        <w:t>的</w:t>
      </w:r>
      <w:r w:rsidRPr="00792CB1">
        <w:rPr>
          <w:rFonts w:ascii="Times New Roman" w:hAnsi="Times New Roman" w:cs="Times New Roman"/>
        </w:rPr>
        <w:t>csv</w:t>
      </w:r>
      <w:r w:rsidRPr="00792CB1">
        <w:rPr>
          <w:rFonts w:ascii="Times New Roman" w:hAnsi="Times New Roman" w:cs="Times New Roman"/>
        </w:rPr>
        <w:t>和</w:t>
      </w:r>
      <w:r w:rsidRPr="00792CB1">
        <w:rPr>
          <w:rFonts w:ascii="Times New Roman" w:hAnsi="Times New Roman" w:cs="Times New Roman"/>
        </w:rPr>
        <w:t>matplotlib</w:t>
      </w:r>
      <w:r w:rsidRPr="00792CB1">
        <w:rPr>
          <w:rFonts w:ascii="Times New Roman" w:hAnsi="Times New Roman" w:cs="Times New Roman"/>
        </w:rPr>
        <w:t>库读取</w:t>
      </w:r>
      <w:r w:rsidRPr="00792CB1">
        <w:rPr>
          <w:rFonts w:ascii="Times New Roman" w:hAnsi="Times New Roman" w:cs="Times New Roman"/>
        </w:rPr>
        <w:t>WIMData.csv</w:t>
      </w:r>
      <w:r w:rsidRPr="00792CB1">
        <w:rPr>
          <w:rFonts w:ascii="Times New Roman" w:hAnsi="Times New Roman" w:cs="Times New Roman"/>
        </w:rPr>
        <w:t>文件，统计所有车辆类型（</w:t>
      </w:r>
      <w:r w:rsidRPr="00792CB1">
        <w:rPr>
          <w:rFonts w:ascii="Times New Roman" w:hAnsi="Times New Roman" w:cs="Times New Roman"/>
        </w:rPr>
        <w:t>A-I</w:t>
      </w:r>
      <w:r w:rsidRPr="00792CB1">
        <w:rPr>
          <w:rFonts w:ascii="Times New Roman" w:hAnsi="Times New Roman" w:cs="Times New Roman"/>
        </w:rPr>
        <w:t>类）的数量，并绘制总体占比饼图。</w:t>
      </w:r>
    </w:p>
    <w:p w:rsidR="00D3710C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分析图表：</w:t>
      </w:r>
    </w:p>
    <w:p w:rsidR="00002481" w:rsidRPr="00792CB1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685592" cy="2764416"/>
            <wp:effectExtent l="0" t="0" r="0" b="4445"/>
            <wp:docPr id="1326410312" name="图片 1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0312" name="图片 1" descr="图表, 饼图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420" cy="278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48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主要结论：</w:t>
      </w:r>
      <w:r w:rsidRPr="00792CB1">
        <w:rPr>
          <w:rFonts w:ascii="Times New Roman" w:hAnsi="Times New Roman" w:cs="Times New Roman"/>
        </w:rPr>
        <w:t> A</w:t>
      </w:r>
      <w:r w:rsidRPr="00792CB1">
        <w:rPr>
          <w:rFonts w:ascii="Times New Roman" w:hAnsi="Times New Roman" w:cs="Times New Roman"/>
        </w:rPr>
        <w:t>类车（小客车）在长途交通中占比最高（约</w:t>
      </w:r>
      <w:r w:rsidRPr="00792CB1">
        <w:rPr>
          <w:rFonts w:ascii="Times New Roman" w:hAnsi="Times New Roman" w:cs="Times New Roman"/>
        </w:rPr>
        <w:t>65%</w:t>
      </w:r>
      <w:r w:rsidRPr="00792CB1">
        <w:rPr>
          <w:rFonts w:ascii="Times New Roman" w:hAnsi="Times New Roman" w:cs="Times New Roman"/>
        </w:rPr>
        <w:t>）。其次是</w:t>
      </w:r>
      <w:r w:rsidRPr="00792CB1">
        <w:rPr>
          <w:rFonts w:ascii="Times New Roman" w:hAnsi="Times New Roman" w:cs="Times New Roman"/>
        </w:rPr>
        <w:t>F</w:t>
      </w:r>
      <w:r w:rsidRPr="00792CB1">
        <w:rPr>
          <w:rFonts w:ascii="Times New Roman" w:hAnsi="Times New Roman" w:cs="Times New Roman"/>
        </w:rPr>
        <w:t>类车（特大型货车，约</w:t>
      </w:r>
      <w:r w:rsidRPr="00792CB1">
        <w:rPr>
          <w:rFonts w:ascii="Times New Roman" w:hAnsi="Times New Roman" w:cs="Times New Roman"/>
        </w:rPr>
        <w:t>18%</w:t>
      </w:r>
      <w:r w:rsidRPr="00792CB1">
        <w:rPr>
          <w:rFonts w:ascii="Times New Roman" w:hAnsi="Times New Roman" w:cs="Times New Roman"/>
        </w:rPr>
        <w:t>），这说明该桥梁不仅是民用交通枢纽，也是重要的货运通道。</w:t>
      </w:r>
    </w:p>
    <w:p w:rsidR="00792CB1" w:rsidRP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002481" w:rsidRDefault="00000000" w:rsidP="00792CB1">
      <w:pPr>
        <w:ind w:firstLine="482"/>
        <w:rPr>
          <w:rFonts w:ascii="Times New Roman" w:hAnsi="Times New Roman" w:cs="Times New Roman"/>
          <w:b/>
          <w:bCs/>
        </w:rPr>
      </w:pPr>
      <w:r w:rsidRPr="00792CB1">
        <w:rPr>
          <w:rFonts w:ascii="Times New Roman" w:hAnsi="Times New Roman" w:cs="Times New Roman"/>
          <w:b/>
          <w:bCs/>
        </w:rPr>
        <w:t xml:space="preserve">2. </w:t>
      </w:r>
      <w:r w:rsidRPr="00792CB1">
        <w:rPr>
          <w:rFonts w:ascii="Times New Roman" w:hAnsi="Times New Roman" w:cs="Times New Roman"/>
          <w:b/>
          <w:bCs/>
        </w:rPr>
        <w:t>各车道内车辆类型占比分析</w:t>
      </w:r>
    </w:p>
    <w:p w:rsidR="00792CB1" w:rsidRPr="00792CB1" w:rsidRDefault="00792CB1" w:rsidP="00792CB1">
      <w:pPr>
        <w:ind w:firstLine="482"/>
        <w:rPr>
          <w:rFonts w:ascii="Times New Roman" w:hAnsi="Times New Roman" w:cs="Times New Roman"/>
          <w:b/>
          <w:bCs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分析方法：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对每个车道分别统计各车型的占比，为</w:t>
      </w:r>
      <w:r w:rsidRPr="00792CB1">
        <w:rPr>
          <w:rFonts w:ascii="Times New Roman" w:hAnsi="Times New Roman" w:cs="Times New Roman"/>
        </w:rPr>
        <w:t>6</w:t>
      </w:r>
      <w:r w:rsidRPr="00792CB1">
        <w:rPr>
          <w:rFonts w:ascii="Times New Roman" w:hAnsi="Times New Roman" w:cs="Times New Roman"/>
        </w:rPr>
        <w:t>个车道分别绘制饼图，并进行横向对比。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分析图表及对应特点：</w:t>
      </w:r>
    </w:p>
    <w:p w:rsidR="00D3710C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边道（</w:t>
      </w:r>
      <w:r w:rsidRPr="00792CB1">
        <w:rPr>
          <w:rFonts w:ascii="Times New Roman" w:hAnsi="Times New Roman" w:cs="Times New Roman"/>
        </w:rPr>
        <w:t>Lane 1, Lane 6</w:t>
      </w:r>
      <w:r w:rsidRPr="00792CB1">
        <w:rPr>
          <w:rFonts w:ascii="Times New Roman" w:hAnsi="Times New Roman" w:cs="Times New Roman"/>
        </w:rPr>
        <w:t>）：</w:t>
      </w:r>
    </w:p>
    <w:p w:rsidR="00792CB1" w:rsidRP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D3710C" w:rsidRPr="00792CB1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638939" cy="2729423"/>
            <wp:effectExtent l="0" t="0" r="6350" b="1270"/>
            <wp:docPr id="1904083988" name="图片 2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83988" name="图片 2" descr="图表, 饼图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812" cy="28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10C" w:rsidRPr="00792CB1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4179778" cy="3135086"/>
            <wp:effectExtent l="0" t="0" r="0" b="1905"/>
            <wp:docPr id="455861443" name="图片 3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61443" name="图片 3" descr="图表, 饼图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701" cy="319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特点分析：边道中</w:t>
      </w:r>
      <w:r w:rsidRPr="00792CB1">
        <w:rPr>
          <w:rFonts w:ascii="Times New Roman" w:hAnsi="Times New Roman" w:cs="Times New Roman"/>
        </w:rPr>
        <w:t>A</w:t>
      </w:r>
      <w:r w:rsidRPr="00792CB1">
        <w:rPr>
          <w:rFonts w:ascii="Times New Roman" w:hAnsi="Times New Roman" w:cs="Times New Roman"/>
        </w:rPr>
        <w:t>类车比例明显下降（</w:t>
      </w:r>
      <w:r w:rsidRPr="00792CB1">
        <w:rPr>
          <w:rFonts w:ascii="Times New Roman" w:hAnsi="Times New Roman" w:cs="Times New Roman"/>
        </w:rPr>
        <w:t>30-40%</w:t>
      </w:r>
      <w:r w:rsidRPr="00792CB1">
        <w:rPr>
          <w:rFonts w:ascii="Times New Roman" w:hAnsi="Times New Roman" w:cs="Times New Roman"/>
        </w:rPr>
        <w:t>左右），而</w:t>
      </w:r>
      <w:r w:rsidRPr="00792CB1">
        <w:rPr>
          <w:rFonts w:ascii="Times New Roman" w:hAnsi="Times New Roman" w:cs="Times New Roman"/>
        </w:rPr>
        <w:t>F</w:t>
      </w:r>
      <w:r w:rsidRPr="00792CB1">
        <w:rPr>
          <w:rFonts w:ascii="Times New Roman" w:hAnsi="Times New Roman" w:cs="Times New Roman"/>
        </w:rPr>
        <w:t>类特大型货车比例显著上升，甚至成为最主要车型。此外，这两个车道囊括了较多的</w:t>
      </w:r>
      <w:r w:rsidRPr="00792CB1">
        <w:rPr>
          <w:rFonts w:ascii="Times New Roman" w:hAnsi="Times New Roman" w:cs="Times New Roman"/>
        </w:rPr>
        <w:t>E</w:t>
      </w:r>
      <w:r w:rsidRPr="00792CB1">
        <w:rPr>
          <w:rFonts w:ascii="Times New Roman" w:hAnsi="Times New Roman" w:cs="Times New Roman"/>
        </w:rPr>
        <w:t>类等多轴重型货车。</w:t>
      </w:r>
    </w:p>
    <w:p w:rsidR="00D3710C" w:rsidRDefault="00000000" w:rsidP="00D3710C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中道（</w:t>
      </w:r>
      <w:r w:rsidRPr="00792CB1">
        <w:rPr>
          <w:rFonts w:ascii="Times New Roman" w:hAnsi="Times New Roman" w:cs="Times New Roman"/>
        </w:rPr>
        <w:t>Lane 2-5</w:t>
      </w:r>
      <w:r w:rsidRPr="00792CB1">
        <w:rPr>
          <w:rFonts w:ascii="Times New Roman" w:hAnsi="Times New Roman" w:cs="Times New Roman"/>
        </w:rPr>
        <w:t>）</w:t>
      </w:r>
      <w:r w:rsidR="00D3710C" w:rsidRPr="00792CB1">
        <w:rPr>
          <w:rFonts w:ascii="Times New Roman" w:hAnsi="Times New Roman" w:cs="Times New Roman"/>
        </w:rPr>
        <w:t>：</w:t>
      </w:r>
    </w:p>
    <w:p w:rsidR="00792CB1" w:rsidRPr="00792CB1" w:rsidRDefault="00792CB1" w:rsidP="00D3710C">
      <w:pPr>
        <w:ind w:firstLine="480"/>
        <w:rPr>
          <w:rFonts w:ascii="Times New Roman" w:hAnsi="Times New Roman" w:cs="Times New Roman"/>
        </w:rPr>
      </w:pPr>
    </w:p>
    <w:p w:rsidR="00D3710C" w:rsidRPr="00792CB1" w:rsidRDefault="00D3710C" w:rsidP="00D3710C">
      <w:pPr>
        <w:ind w:firstLine="48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693164" cy="2770095"/>
            <wp:effectExtent l="0" t="0" r="2540" b="0"/>
            <wp:docPr id="435208732" name="图片 5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08732" name="图片 5" descr="图表, 饼图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164" cy="283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10C" w:rsidRPr="00792CB1" w:rsidRDefault="00D3710C" w:rsidP="00D3710C">
      <w:pPr>
        <w:ind w:firstLine="48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738283" cy="2803937"/>
            <wp:effectExtent l="0" t="0" r="0" b="0"/>
            <wp:docPr id="1190213047" name="图片 6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3047" name="图片 6" descr="图表, 饼图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283" cy="280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10C" w:rsidRPr="00792CB1" w:rsidRDefault="00D3710C" w:rsidP="00D3710C">
      <w:pPr>
        <w:ind w:firstLine="48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870542" cy="2903138"/>
            <wp:effectExtent l="0" t="0" r="3175" b="5715"/>
            <wp:docPr id="982167760" name="图片 7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67760" name="图片 7" descr="图表, 饼图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765" cy="294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10C" w:rsidRPr="00792CB1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549740" cy="2662518"/>
            <wp:effectExtent l="0" t="0" r="0" b="5080"/>
            <wp:docPr id="760555693" name="图片 8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55693" name="图片 8" descr="图表, 饼图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600" cy="26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48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特点分析：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车道</w:t>
      </w:r>
      <w:r w:rsidRPr="00792CB1">
        <w:rPr>
          <w:rFonts w:ascii="Times New Roman" w:hAnsi="Times New Roman" w:cs="Times New Roman"/>
        </w:rPr>
        <w:t>2</w:t>
      </w:r>
      <w:r w:rsidRPr="00792CB1">
        <w:rPr>
          <w:rFonts w:ascii="Times New Roman" w:hAnsi="Times New Roman" w:cs="Times New Roman"/>
        </w:rPr>
        <w:t>、</w:t>
      </w:r>
      <w:r w:rsidRPr="00792CB1">
        <w:rPr>
          <w:rFonts w:ascii="Times New Roman" w:hAnsi="Times New Roman" w:cs="Times New Roman"/>
        </w:rPr>
        <w:t>3</w:t>
      </w:r>
      <w:r w:rsidRPr="00792CB1">
        <w:rPr>
          <w:rFonts w:ascii="Times New Roman" w:hAnsi="Times New Roman" w:cs="Times New Roman"/>
        </w:rPr>
        <w:t>、</w:t>
      </w:r>
      <w:r w:rsidRPr="00792CB1">
        <w:rPr>
          <w:rFonts w:ascii="Times New Roman" w:hAnsi="Times New Roman" w:cs="Times New Roman"/>
        </w:rPr>
        <w:t>4</w:t>
      </w:r>
      <w:r w:rsidRPr="00792CB1">
        <w:rPr>
          <w:rFonts w:ascii="Times New Roman" w:hAnsi="Times New Roman" w:cs="Times New Roman"/>
        </w:rPr>
        <w:t>、</w:t>
      </w:r>
      <w:r w:rsidRPr="00792CB1">
        <w:rPr>
          <w:rFonts w:ascii="Times New Roman" w:hAnsi="Times New Roman" w:cs="Times New Roman"/>
        </w:rPr>
        <w:t>5</w:t>
      </w:r>
      <w:r w:rsidRPr="00792CB1">
        <w:rPr>
          <w:rFonts w:ascii="Times New Roman" w:hAnsi="Times New Roman" w:cs="Times New Roman"/>
        </w:rPr>
        <w:t>的</w:t>
      </w:r>
      <w:r w:rsidRPr="00792CB1">
        <w:rPr>
          <w:rFonts w:ascii="Times New Roman" w:hAnsi="Times New Roman" w:cs="Times New Roman"/>
        </w:rPr>
        <w:t>A</w:t>
      </w:r>
      <w:r w:rsidRPr="00792CB1">
        <w:rPr>
          <w:rFonts w:ascii="Times New Roman" w:hAnsi="Times New Roman" w:cs="Times New Roman"/>
        </w:rPr>
        <w:t>类小客车占比具有绝对优势（远超</w:t>
      </w:r>
      <w:r w:rsidRPr="00792CB1">
        <w:rPr>
          <w:rFonts w:ascii="Times New Roman" w:hAnsi="Times New Roman" w:cs="Times New Roman"/>
        </w:rPr>
        <w:t>80%</w:t>
      </w:r>
      <w:r w:rsidRPr="00792CB1">
        <w:rPr>
          <w:rFonts w:ascii="Times New Roman" w:hAnsi="Times New Roman" w:cs="Times New Roman"/>
        </w:rPr>
        <w:t>）。这表现出该桥梁收费站具有非常明确的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客货分流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调度机制。重载慢速车辆被引导至两侧边道，以保证中间车道快速小客车（如</w:t>
      </w:r>
      <w:r w:rsidRPr="00792CB1">
        <w:rPr>
          <w:rFonts w:ascii="Times New Roman" w:hAnsi="Times New Roman" w:cs="Times New Roman"/>
        </w:rPr>
        <w:t>ETC</w:t>
      </w:r>
      <w:r w:rsidRPr="00792CB1">
        <w:rPr>
          <w:rFonts w:ascii="Times New Roman" w:hAnsi="Times New Roman" w:cs="Times New Roman"/>
        </w:rPr>
        <w:t>通道）的通行效率。</w:t>
      </w:r>
    </w:p>
    <w:p w:rsidR="00792CB1" w:rsidRP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002481" w:rsidRDefault="00000000" w:rsidP="00792CB1">
      <w:pPr>
        <w:ind w:firstLine="482"/>
        <w:rPr>
          <w:rFonts w:ascii="Times New Roman" w:hAnsi="Times New Roman" w:cs="Times New Roman"/>
          <w:b/>
          <w:bCs/>
        </w:rPr>
      </w:pPr>
      <w:r w:rsidRPr="00792CB1">
        <w:rPr>
          <w:rFonts w:ascii="Times New Roman" w:hAnsi="Times New Roman" w:cs="Times New Roman"/>
          <w:b/>
          <w:bCs/>
        </w:rPr>
        <w:t xml:space="preserve">3. </w:t>
      </w:r>
      <w:r w:rsidRPr="00792CB1">
        <w:rPr>
          <w:rFonts w:ascii="Times New Roman" w:hAnsi="Times New Roman" w:cs="Times New Roman"/>
          <w:b/>
          <w:bCs/>
        </w:rPr>
        <w:t>两个方向车流量对比分析</w:t>
      </w:r>
    </w:p>
    <w:p w:rsidR="00792CB1" w:rsidRPr="00792CB1" w:rsidRDefault="00792CB1" w:rsidP="00792CB1">
      <w:pPr>
        <w:ind w:firstLine="482"/>
        <w:rPr>
          <w:rFonts w:ascii="Times New Roman" w:hAnsi="Times New Roman" w:cs="Times New Roman"/>
          <w:b/>
          <w:bCs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分析方法：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将车道</w:t>
      </w:r>
      <w:r w:rsidRPr="00792CB1">
        <w:rPr>
          <w:rFonts w:ascii="Times New Roman" w:hAnsi="Times New Roman" w:cs="Times New Roman"/>
        </w:rPr>
        <w:t>1~3</w:t>
      </w:r>
      <w:r w:rsidRPr="00792CB1">
        <w:rPr>
          <w:rFonts w:ascii="Times New Roman" w:hAnsi="Times New Roman" w:cs="Times New Roman"/>
        </w:rPr>
        <w:t>合并为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方向</w:t>
      </w:r>
      <w:r w:rsidRPr="00792CB1">
        <w:rPr>
          <w:rFonts w:ascii="Times New Roman" w:hAnsi="Times New Roman" w:cs="Times New Roman"/>
        </w:rPr>
        <w:t>1"</w:t>
      </w:r>
      <w:r w:rsidRPr="00792CB1">
        <w:rPr>
          <w:rFonts w:ascii="Times New Roman" w:hAnsi="Times New Roman" w:cs="Times New Roman"/>
        </w:rPr>
        <w:t>，车道</w:t>
      </w:r>
      <w:r w:rsidRPr="00792CB1">
        <w:rPr>
          <w:rFonts w:ascii="Times New Roman" w:hAnsi="Times New Roman" w:cs="Times New Roman"/>
        </w:rPr>
        <w:t>4~6</w:t>
      </w:r>
      <w:r w:rsidRPr="00792CB1">
        <w:rPr>
          <w:rFonts w:ascii="Times New Roman" w:hAnsi="Times New Roman" w:cs="Times New Roman"/>
        </w:rPr>
        <w:t>合并为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方向</w:t>
      </w:r>
      <w:r w:rsidRPr="00792CB1">
        <w:rPr>
          <w:rFonts w:ascii="Times New Roman" w:hAnsi="Times New Roman" w:cs="Times New Roman"/>
        </w:rPr>
        <w:t>2"</w:t>
      </w:r>
      <w:r w:rsidRPr="00792CB1">
        <w:rPr>
          <w:rFonts w:ascii="Times New Roman" w:hAnsi="Times New Roman" w:cs="Times New Roman"/>
        </w:rPr>
        <w:t>，通过</w:t>
      </w:r>
      <w:r w:rsidRPr="00792CB1">
        <w:rPr>
          <w:rFonts w:ascii="Times New Roman" w:hAnsi="Times New Roman" w:cs="Times New Roman"/>
        </w:rPr>
        <w:t>Python</w:t>
      </w:r>
      <w:r w:rsidRPr="00792CB1">
        <w:rPr>
          <w:rFonts w:ascii="Times New Roman" w:hAnsi="Times New Roman" w:cs="Times New Roman"/>
        </w:rPr>
        <w:t>词典进行累加并对比。</w:t>
      </w:r>
    </w:p>
    <w:p w:rsidR="00D3710C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对比表格：</w:t>
      </w:r>
    </w:p>
    <w:p w:rsidR="00792CB1" w:rsidRPr="00792CB1" w:rsidRDefault="00792CB1" w:rsidP="00792CB1">
      <w:pPr>
        <w:ind w:firstLine="480"/>
        <w:rPr>
          <w:rFonts w:ascii="Times New Roman" w:hAnsi="Times New Roman" w:cs="Times New Roman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70"/>
        <w:gridCol w:w="1956"/>
        <w:gridCol w:w="1956"/>
        <w:gridCol w:w="2956"/>
      </w:tblGrid>
      <w:tr w:rsidR="00002481" w:rsidRPr="00792CB1" w:rsidTr="00D3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12" w:space="0" w:color="auto"/>
            </w:tcBorders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车型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方向</w:t>
            </w:r>
            <w:r w:rsidRPr="00792CB1">
              <w:rPr>
                <w:rFonts w:ascii="Times New Roman" w:hAnsi="Times New Roman" w:cs="Times New Roman"/>
              </w:rPr>
              <w:t>1 (1-3</w:t>
            </w:r>
            <w:r w:rsidRPr="00792CB1">
              <w:rPr>
                <w:rFonts w:ascii="Times New Roman" w:hAnsi="Times New Roman" w:cs="Times New Roman"/>
              </w:rPr>
              <w:t>车道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方向</w:t>
            </w:r>
            <w:r w:rsidRPr="00792CB1">
              <w:rPr>
                <w:rFonts w:ascii="Times New Roman" w:hAnsi="Times New Roman" w:cs="Times New Roman"/>
              </w:rPr>
              <w:t>2 (4-6</w:t>
            </w:r>
            <w:r w:rsidRPr="00792CB1">
              <w:rPr>
                <w:rFonts w:ascii="Times New Roman" w:hAnsi="Times New Roman" w:cs="Times New Roman"/>
              </w:rPr>
              <w:t>车道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差值与规律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A (</w:t>
            </w:r>
            <w:r w:rsidRPr="00792CB1">
              <w:rPr>
                <w:rFonts w:ascii="Times New Roman" w:hAnsi="Times New Roman" w:cs="Times New Roman"/>
              </w:rPr>
              <w:t>小客车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388,164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365,721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方向</w:t>
            </w:r>
            <w:r w:rsidRPr="00792CB1">
              <w:rPr>
                <w:rFonts w:ascii="Times New Roman" w:hAnsi="Times New Roman" w:cs="Times New Roman"/>
              </w:rPr>
              <w:t>1</w:t>
            </w:r>
            <w:r w:rsidRPr="00792CB1">
              <w:rPr>
                <w:rFonts w:ascii="Times New Roman" w:hAnsi="Times New Roman" w:cs="Times New Roman"/>
              </w:rPr>
              <w:t>略多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B (</w:t>
            </w:r>
            <w:r w:rsidRPr="00792CB1">
              <w:rPr>
                <w:rFonts w:ascii="Times New Roman" w:hAnsi="Times New Roman" w:cs="Times New Roman"/>
              </w:rPr>
              <w:t>小型货车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29,200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26,029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基本相当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C (</w:t>
            </w:r>
            <w:r w:rsidRPr="00792CB1">
              <w:rPr>
                <w:rFonts w:ascii="Times New Roman" w:hAnsi="Times New Roman" w:cs="Times New Roman"/>
              </w:rPr>
              <w:t>大客车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25,663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16,368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方向</w:t>
            </w:r>
            <w:r w:rsidRPr="00792CB1">
              <w:rPr>
                <w:rFonts w:ascii="Times New Roman" w:hAnsi="Times New Roman" w:cs="Times New Roman"/>
              </w:rPr>
              <w:t>1</w:t>
            </w:r>
            <w:r w:rsidRPr="00792CB1">
              <w:rPr>
                <w:rFonts w:ascii="Times New Roman" w:hAnsi="Times New Roman" w:cs="Times New Roman"/>
              </w:rPr>
              <w:t>显著较多</w:t>
            </w:r>
            <w:r w:rsidRPr="00792CB1">
              <w:rPr>
                <w:rFonts w:ascii="Times New Roman" w:hAnsi="Times New Roman" w:cs="Times New Roman"/>
              </w:rPr>
              <w:t>(</w:t>
            </w:r>
            <w:r w:rsidRPr="00792CB1">
              <w:rPr>
                <w:rFonts w:ascii="Times New Roman" w:hAnsi="Times New Roman" w:cs="Times New Roman"/>
              </w:rPr>
              <w:t>约</w:t>
            </w:r>
            <w:r w:rsidRPr="00792CB1">
              <w:rPr>
                <w:rFonts w:ascii="Times New Roman" w:hAnsi="Times New Roman" w:cs="Times New Roman"/>
              </w:rPr>
              <w:t>1.5</w:t>
            </w:r>
            <w:r w:rsidRPr="00792CB1">
              <w:rPr>
                <w:rFonts w:ascii="Times New Roman" w:hAnsi="Times New Roman" w:cs="Times New Roman"/>
              </w:rPr>
              <w:t>倍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D (</w:t>
            </w:r>
            <w:r w:rsidRPr="00792CB1">
              <w:rPr>
                <w:rFonts w:ascii="Times New Roman" w:hAnsi="Times New Roman" w:cs="Times New Roman"/>
              </w:rPr>
              <w:t>中型货车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19,954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25,778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方向</w:t>
            </w:r>
            <w:r w:rsidRPr="00792CB1">
              <w:rPr>
                <w:rFonts w:ascii="Times New Roman" w:hAnsi="Times New Roman" w:cs="Times New Roman"/>
              </w:rPr>
              <w:t>2</w:t>
            </w:r>
            <w:r w:rsidRPr="00792CB1">
              <w:rPr>
                <w:rFonts w:ascii="Times New Roman" w:hAnsi="Times New Roman" w:cs="Times New Roman"/>
              </w:rPr>
              <w:t>略多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E (</w:t>
            </w:r>
            <w:r w:rsidRPr="00792CB1">
              <w:rPr>
                <w:rFonts w:ascii="Times New Roman" w:hAnsi="Times New Roman" w:cs="Times New Roman"/>
              </w:rPr>
              <w:t>大型货车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33,928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30,652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基本相当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F (</w:t>
            </w:r>
            <w:r w:rsidRPr="00792CB1">
              <w:rPr>
                <w:rFonts w:ascii="Times New Roman" w:hAnsi="Times New Roman" w:cs="Times New Roman"/>
              </w:rPr>
              <w:t>特大货车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101,882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103,456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高度一致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I (</w:t>
            </w:r>
            <w:r w:rsidRPr="00792CB1">
              <w:rPr>
                <w:rFonts w:ascii="Times New Roman" w:hAnsi="Times New Roman" w:cs="Times New Roman"/>
              </w:rPr>
              <w:t>其他</w:t>
            </w:r>
            <w:r w:rsidRPr="00792C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数量极少</w:t>
            </w:r>
          </w:p>
        </w:tc>
      </w:tr>
      <w:tr w:rsidR="00002481" w:rsidRPr="00792CB1" w:rsidTr="00D3710C"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总计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598,894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568,034</w:t>
            </w:r>
          </w:p>
        </w:tc>
        <w:tc>
          <w:tcPr>
            <w:tcW w:w="0" w:type="auto"/>
          </w:tcPr>
          <w:p w:rsidR="00002481" w:rsidRPr="00792CB1" w:rsidRDefault="00000000" w:rsidP="00D3710C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792CB1">
              <w:rPr>
                <w:rFonts w:ascii="Times New Roman" w:hAnsi="Times New Roman" w:cs="Times New Roman"/>
              </w:rPr>
              <w:t>总量基本平衡</w:t>
            </w:r>
          </w:p>
        </w:tc>
      </w:tr>
    </w:tbl>
    <w:p w:rsid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00248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数据分析：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两个方向的总流量大体相当（约</w:t>
      </w:r>
      <w:r w:rsidRPr="00792CB1">
        <w:rPr>
          <w:rFonts w:ascii="Times New Roman" w:hAnsi="Times New Roman" w:cs="Times New Roman"/>
        </w:rPr>
        <w:t>60</w:t>
      </w:r>
      <w:r w:rsidRPr="00792CB1">
        <w:rPr>
          <w:rFonts w:ascii="Times New Roman" w:hAnsi="Times New Roman" w:cs="Times New Roman"/>
        </w:rPr>
        <w:t>万对</w:t>
      </w:r>
      <w:r w:rsidRPr="00792CB1">
        <w:rPr>
          <w:rFonts w:ascii="Times New Roman" w:hAnsi="Times New Roman" w:cs="Times New Roman"/>
        </w:rPr>
        <w:t>57</w:t>
      </w:r>
      <w:r w:rsidRPr="00792CB1">
        <w:rPr>
          <w:rFonts w:ascii="Times New Roman" w:hAnsi="Times New Roman" w:cs="Times New Roman"/>
        </w:rPr>
        <w:t>万），货运车流（</w:t>
      </w:r>
      <w:r w:rsidRPr="00792CB1">
        <w:rPr>
          <w:rFonts w:ascii="Times New Roman" w:hAnsi="Times New Roman" w:cs="Times New Roman"/>
        </w:rPr>
        <w:t>F</w:t>
      </w:r>
      <w:r w:rsidRPr="00792CB1">
        <w:rPr>
          <w:rFonts w:ascii="Times New Roman" w:hAnsi="Times New Roman" w:cs="Times New Roman"/>
        </w:rPr>
        <w:lastRenderedPageBreak/>
        <w:t>类）在两个方向甚至高度一致（</w:t>
      </w:r>
      <w:r w:rsidRPr="00792CB1">
        <w:rPr>
          <w:rFonts w:ascii="Times New Roman" w:hAnsi="Times New Roman" w:cs="Times New Roman"/>
        </w:rPr>
        <w:t>10</w:t>
      </w:r>
      <w:r w:rsidRPr="00792CB1">
        <w:rPr>
          <w:rFonts w:ascii="Times New Roman" w:hAnsi="Times New Roman" w:cs="Times New Roman"/>
        </w:rPr>
        <w:t>万辆）。</w:t>
      </w:r>
      <w:r w:rsidRPr="00792CB1">
        <w:rPr>
          <w:rFonts w:ascii="Times New Roman" w:hAnsi="Times New Roman" w:cs="Times New Roman"/>
        </w:rPr>
        <w:t xml:space="preserve"> </w:t>
      </w:r>
      <w:r w:rsidRPr="00792CB1">
        <w:rPr>
          <w:rFonts w:ascii="Times New Roman" w:hAnsi="Times New Roman" w:cs="Times New Roman"/>
        </w:rPr>
        <w:t>但值得注意的是，</w:t>
      </w:r>
      <w:r w:rsidRPr="00792CB1">
        <w:rPr>
          <w:rFonts w:ascii="Times New Roman" w:hAnsi="Times New Roman" w:cs="Times New Roman"/>
        </w:rPr>
        <w:t>C</w:t>
      </w:r>
      <w:r w:rsidRPr="00792CB1">
        <w:rPr>
          <w:rFonts w:ascii="Times New Roman" w:hAnsi="Times New Roman" w:cs="Times New Roman"/>
        </w:rPr>
        <w:t>类（大客车）出现明显的方向性偏差，方向</w:t>
      </w:r>
      <w:r w:rsidRPr="00792CB1">
        <w:rPr>
          <w:rFonts w:ascii="Times New Roman" w:hAnsi="Times New Roman" w:cs="Times New Roman"/>
        </w:rPr>
        <w:t>1</w:t>
      </w:r>
      <w:r w:rsidRPr="00792CB1">
        <w:rPr>
          <w:rFonts w:ascii="Times New Roman" w:hAnsi="Times New Roman" w:cs="Times New Roman"/>
        </w:rPr>
        <w:t>是方向</w:t>
      </w:r>
      <w:r w:rsidRPr="00792CB1">
        <w:rPr>
          <w:rFonts w:ascii="Times New Roman" w:hAnsi="Times New Roman" w:cs="Times New Roman"/>
        </w:rPr>
        <w:t>2</w:t>
      </w:r>
      <w:r w:rsidRPr="00792CB1">
        <w:rPr>
          <w:rFonts w:ascii="Times New Roman" w:hAnsi="Times New Roman" w:cs="Times New Roman"/>
        </w:rPr>
        <w:t>的</w:t>
      </w:r>
      <w:r w:rsidRPr="00792CB1">
        <w:rPr>
          <w:rFonts w:ascii="Times New Roman" w:hAnsi="Times New Roman" w:cs="Times New Roman"/>
        </w:rPr>
        <w:t>1.5</w:t>
      </w:r>
      <w:r w:rsidRPr="00792CB1">
        <w:rPr>
          <w:rFonts w:ascii="Times New Roman" w:hAnsi="Times New Roman" w:cs="Times New Roman"/>
        </w:rPr>
        <w:t>倍。这说明该大桥连接的两端可能有城际客流的不对称性（例如早高峰进城、晚高峰出城，或某一端是主要的客运枢纽）。</w:t>
      </w:r>
    </w:p>
    <w:p w:rsidR="00792CB1" w:rsidRPr="00792CB1" w:rsidRDefault="00792CB1" w:rsidP="00792CB1">
      <w:pPr>
        <w:ind w:firstLineChars="0" w:firstLine="0"/>
        <w:rPr>
          <w:rFonts w:ascii="Times New Roman" w:hAnsi="Times New Roman" w:cs="Times New Roman"/>
        </w:rPr>
      </w:pPr>
    </w:p>
    <w:p w:rsidR="00002481" w:rsidRDefault="00000000" w:rsidP="00792CB1">
      <w:pPr>
        <w:ind w:firstLine="482"/>
        <w:rPr>
          <w:rFonts w:ascii="Times New Roman" w:hAnsi="Times New Roman" w:cs="Times New Roman"/>
          <w:b/>
          <w:bCs/>
        </w:rPr>
      </w:pPr>
      <w:r w:rsidRPr="00792CB1">
        <w:rPr>
          <w:rFonts w:ascii="Times New Roman" w:hAnsi="Times New Roman" w:cs="Times New Roman"/>
          <w:b/>
          <w:bCs/>
        </w:rPr>
        <w:t xml:space="preserve">4. </w:t>
      </w:r>
      <w:r w:rsidRPr="00792CB1">
        <w:rPr>
          <w:rFonts w:ascii="Times New Roman" w:hAnsi="Times New Roman" w:cs="Times New Roman"/>
          <w:b/>
          <w:bCs/>
        </w:rPr>
        <w:t>车重规律分析</w:t>
      </w:r>
    </w:p>
    <w:p w:rsidR="00792CB1" w:rsidRPr="00792CB1" w:rsidRDefault="00792CB1" w:rsidP="00792CB1">
      <w:pPr>
        <w:ind w:firstLine="482"/>
        <w:rPr>
          <w:rFonts w:ascii="Times New Roman" w:hAnsi="Times New Roman" w:cs="Times New Roman"/>
          <w:b/>
          <w:bCs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分析方法：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提取各车道的</w:t>
      </w:r>
      <w:proofErr w:type="spellStart"/>
      <w:r w:rsidRPr="00792CB1">
        <w:rPr>
          <w:rFonts w:ascii="Times New Roman" w:hAnsi="Times New Roman" w:cs="Times New Roman"/>
        </w:rPr>
        <w:t>TotalWeight</w:t>
      </w:r>
      <w:proofErr w:type="spellEnd"/>
      <w:r w:rsidRPr="00792CB1">
        <w:rPr>
          <w:rFonts w:ascii="Times New Roman" w:hAnsi="Times New Roman" w:cs="Times New Roman"/>
        </w:rPr>
        <w:t>（车辆总重），计算每个车道的平均值、最大值和最小值，绘制点线对比图。</w:t>
      </w:r>
    </w:p>
    <w:p w:rsidR="00002481" w:rsidRDefault="00000000" w:rsidP="00D3710C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分析图表：</w:t>
      </w:r>
    </w:p>
    <w:p w:rsidR="00792CB1" w:rsidRPr="00792CB1" w:rsidRDefault="00792CB1" w:rsidP="00D3710C">
      <w:pPr>
        <w:ind w:firstLine="480"/>
        <w:rPr>
          <w:rFonts w:ascii="Times New Roman" w:hAnsi="Times New Roman" w:cs="Times New Roman"/>
        </w:rPr>
      </w:pPr>
    </w:p>
    <w:p w:rsidR="00D3710C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873910" cy="2324533"/>
            <wp:effectExtent l="0" t="0" r="0" b="0"/>
            <wp:docPr id="2062833105" name="图片 9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3105" name="图片 9" descr="图表, 折线图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34" cy="233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B1" w:rsidRPr="00792CB1" w:rsidRDefault="00792CB1" w:rsidP="00D3710C">
      <w:pPr>
        <w:ind w:firstLineChars="0" w:firstLine="0"/>
        <w:jc w:val="center"/>
        <w:rPr>
          <w:rFonts w:ascii="Times New Roman" w:hAnsi="Times New Roman" w:cs="Times New Roman"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规律与意义：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规律：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车道的平均承重呈现明显的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两头高、中间低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（</w:t>
      </w:r>
      <w:r w:rsidRPr="00792CB1">
        <w:rPr>
          <w:rFonts w:ascii="Times New Roman" w:hAnsi="Times New Roman" w:cs="Times New Roman"/>
        </w:rPr>
        <w:t>U</w:t>
      </w:r>
      <w:r w:rsidRPr="00792CB1">
        <w:rPr>
          <w:rFonts w:ascii="Times New Roman" w:hAnsi="Times New Roman" w:cs="Times New Roman"/>
        </w:rPr>
        <w:t>型槽）规律。车道</w:t>
      </w:r>
      <w:r w:rsidRPr="00792CB1">
        <w:rPr>
          <w:rFonts w:ascii="Times New Roman" w:hAnsi="Times New Roman" w:cs="Times New Roman"/>
        </w:rPr>
        <w:t>1</w:t>
      </w:r>
      <w:r w:rsidRPr="00792CB1">
        <w:rPr>
          <w:rFonts w:ascii="Times New Roman" w:hAnsi="Times New Roman" w:cs="Times New Roman"/>
        </w:rPr>
        <w:t>和车道</w:t>
      </w:r>
      <w:r w:rsidRPr="00792CB1">
        <w:rPr>
          <w:rFonts w:ascii="Times New Roman" w:hAnsi="Times New Roman" w:cs="Times New Roman"/>
        </w:rPr>
        <w:t>6</w:t>
      </w:r>
      <w:r w:rsidRPr="00792CB1">
        <w:rPr>
          <w:rFonts w:ascii="Times New Roman" w:hAnsi="Times New Roman" w:cs="Times New Roman"/>
        </w:rPr>
        <w:t>的平均承重远远高于中间的</w:t>
      </w:r>
      <w:r w:rsidRPr="00792CB1">
        <w:rPr>
          <w:rFonts w:ascii="Times New Roman" w:hAnsi="Times New Roman" w:cs="Times New Roman"/>
        </w:rPr>
        <w:t>2-5</w:t>
      </w:r>
      <w:r w:rsidRPr="00792CB1">
        <w:rPr>
          <w:rFonts w:ascii="Times New Roman" w:hAnsi="Times New Roman" w:cs="Times New Roman"/>
        </w:rPr>
        <w:t>车道。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最大</w:t>
      </w:r>
      <w:r w:rsidRPr="00792CB1">
        <w:rPr>
          <w:rFonts w:ascii="Times New Roman" w:hAnsi="Times New Roman" w:cs="Times New Roman"/>
        </w:rPr>
        <w:t>/</w:t>
      </w:r>
      <w:r w:rsidRPr="00792CB1">
        <w:rPr>
          <w:rFonts w:ascii="Times New Roman" w:hAnsi="Times New Roman" w:cs="Times New Roman"/>
        </w:rPr>
        <w:t>小值差异：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所有车道都存在极轻和极重的极端值，这可能对应了空载微型车和超载重型卡车。</w:t>
      </w:r>
    </w:p>
    <w:p w:rsidR="0000248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意义：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此分析对桥梁养护意义重大。道路</w:t>
      </w:r>
      <w:r w:rsidRPr="00792CB1">
        <w:rPr>
          <w:rFonts w:ascii="Times New Roman" w:hAnsi="Times New Roman" w:cs="Times New Roman"/>
        </w:rPr>
        <w:t>1</w:t>
      </w:r>
      <w:r w:rsidRPr="00792CB1">
        <w:rPr>
          <w:rFonts w:ascii="Times New Roman" w:hAnsi="Times New Roman" w:cs="Times New Roman"/>
        </w:rPr>
        <w:t>和</w:t>
      </w:r>
      <w:r w:rsidRPr="00792CB1">
        <w:rPr>
          <w:rFonts w:ascii="Times New Roman" w:hAnsi="Times New Roman" w:cs="Times New Roman"/>
        </w:rPr>
        <w:t>6</w:t>
      </w:r>
      <w:r w:rsidRPr="00792CB1">
        <w:rPr>
          <w:rFonts w:ascii="Times New Roman" w:hAnsi="Times New Roman" w:cs="Times New Roman"/>
        </w:rPr>
        <w:t>（边侧车道）长期承受巨大的动载荷压力。因此，在道路设计、材料铺设和日常翻修中，需对边车道实施更严标准的加固处理，重点排查其疲劳性损耗。</w:t>
      </w:r>
    </w:p>
    <w:p w:rsidR="00792CB1" w:rsidRP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002481" w:rsidRDefault="00000000" w:rsidP="00792CB1">
      <w:pPr>
        <w:ind w:firstLine="482"/>
        <w:rPr>
          <w:rFonts w:ascii="Times New Roman" w:hAnsi="Times New Roman" w:cs="Times New Roman"/>
          <w:b/>
          <w:bCs/>
        </w:rPr>
      </w:pPr>
      <w:r w:rsidRPr="00792CB1">
        <w:rPr>
          <w:rFonts w:ascii="Times New Roman" w:hAnsi="Times New Roman" w:cs="Times New Roman"/>
          <w:b/>
          <w:bCs/>
        </w:rPr>
        <w:t xml:space="preserve">5. </w:t>
      </w:r>
      <w:r w:rsidRPr="00792CB1">
        <w:rPr>
          <w:rFonts w:ascii="Times New Roman" w:hAnsi="Times New Roman" w:cs="Times New Roman"/>
          <w:b/>
          <w:bCs/>
        </w:rPr>
        <w:t>每小时车流量规律（日内分析）</w:t>
      </w:r>
    </w:p>
    <w:p w:rsidR="00792CB1" w:rsidRPr="00792CB1" w:rsidRDefault="00792CB1" w:rsidP="00792CB1">
      <w:pPr>
        <w:ind w:firstLine="482"/>
        <w:rPr>
          <w:rFonts w:ascii="Times New Roman" w:hAnsi="Times New Roman" w:cs="Times New Roman"/>
          <w:b/>
          <w:bCs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分析对象：选取</w:t>
      </w:r>
      <w:r w:rsidRPr="00792CB1">
        <w:rPr>
          <w:rFonts w:ascii="Times New Roman" w:hAnsi="Times New Roman" w:cs="Times New Roman"/>
        </w:rPr>
        <w:t>2024-03-05</w:t>
      </w:r>
      <w:r w:rsidRPr="00792CB1">
        <w:rPr>
          <w:rFonts w:ascii="Times New Roman" w:hAnsi="Times New Roman" w:cs="Times New Roman"/>
        </w:rPr>
        <w:t>这一完整</w:t>
      </w:r>
      <w:r w:rsidRPr="00792CB1">
        <w:rPr>
          <w:rFonts w:ascii="Times New Roman" w:hAnsi="Times New Roman" w:cs="Times New Roman"/>
        </w:rPr>
        <w:t>24</w:t>
      </w:r>
      <w:r w:rsidRPr="00792CB1">
        <w:rPr>
          <w:rFonts w:ascii="Times New Roman" w:hAnsi="Times New Roman" w:cs="Times New Roman"/>
        </w:rPr>
        <w:t>小时数据的日期。</w:t>
      </w:r>
    </w:p>
    <w:p w:rsidR="00002481" w:rsidRDefault="00000000" w:rsidP="00D3710C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分析图表：</w:t>
      </w:r>
    </w:p>
    <w:p w:rsidR="00792CB1" w:rsidRPr="00792CB1" w:rsidRDefault="00792CB1" w:rsidP="00D3710C">
      <w:pPr>
        <w:ind w:firstLine="480"/>
        <w:rPr>
          <w:rFonts w:ascii="Times New Roman" w:hAnsi="Times New Roman" w:cs="Times New Roman"/>
        </w:rPr>
      </w:pPr>
    </w:p>
    <w:p w:rsidR="00D3710C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942735" cy="1971368"/>
            <wp:effectExtent l="0" t="0" r="0" b="0"/>
            <wp:docPr id="772987808" name="图片 10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7808" name="图片 10" descr="图表, 折线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62" cy="198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B1" w:rsidRPr="00792CB1" w:rsidRDefault="00792CB1" w:rsidP="00D3710C">
      <w:pPr>
        <w:ind w:firstLineChars="0" w:firstLine="0"/>
        <w:jc w:val="center"/>
        <w:rPr>
          <w:rFonts w:ascii="Times New Roman" w:hAnsi="Times New Roman" w:cs="Times New Roman"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规律发现：图表揭示了非常典型的公路日常通勤规律：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低谷期：凌晨</w:t>
      </w:r>
      <w:r w:rsidRPr="00792CB1">
        <w:rPr>
          <w:rFonts w:ascii="Times New Roman" w:hAnsi="Times New Roman" w:cs="Times New Roman"/>
        </w:rPr>
        <w:t>2:00-4:00</w:t>
      </w:r>
      <w:r w:rsidRPr="00792CB1">
        <w:rPr>
          <w:rFonts w:ascii="Times New Roman" w:hAnsi="Times New Roman" w:cs="Times New Roman"/>
        </w:rPr>
        <w:t>车流量最低。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早高峰：清晨</w:t>
      </w:r>
      <w:r w:rsidRPr="00792CB1">
        <w:rPr>
          <w:rFonts w:ascii="Times New Roman" w:hAnsi="Times New Roman" w:cs="Times New Roman"/>
        </w:rPr>
        <w:t>6:00</w:t>
      </w:r>
      <w:r w:rsidRPr="00792CB1">
        <w:rPr>
          <w:rFonts w:ascii="Times New Roman" w:hAnsi="Times New Roman" w:cs="Times New Roman"/>
        </w:rPr>
        <w:t>后流量骤增，</w:t>
      </w:r>
      <w:r w:rsidRPr="00792CB1">
        <w:rPr>
          <w:rFonts w:ascii="Times New Roman" w:hAnsi="Times New Roman" w:cs="Times New Roman"/>
        </w:rPr>
        <w:t>8:00</w:t>
      </w:r>
      <w:r w:rsidRPr="00792CB1">
        <w:rPr>
          <w:rFonts w:ascii="Times New Roman" w:hAnsi="Times New Roman" w:cs="Times New Roman"/>
        </w:rPr>
        <w:t>左右达到早高位。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白日平稳及最高峰：整个白天（</w:t>
      </w:r>
      <w:r w:rsidRPr="00792CB1">
        <w:rPr>
          <w:rFonts w:ascii="Times New Roman" w:hAnsi="Times New Roman" w:cs="Times New Roman"/>
        </w:rPr>
        <w:t>8:00</w:t>
      </w:r>
      <w:r w:rsidRPr="00792CB1">
        <w:rPr>
          <w:rFonts w:ascii="Times New Roman" w:hAnsi="Times New Roman" w:cs="Times New Roman"/>
        </w:rPr>
        <w:t>至</w:t>
      </w:r>
      <w:r w:rsidRPr="00792CB1">
        <w:rPr>
          <w:rFonts w:ascii="Times New Roman" w:hAnsi="Times New Roman" w:cs="Times New Roman"/>
        </w:rPr>
        <w:t>17:00</w:t>
      </w:r>
      <w:r w:rsidRPr="00792CB1">
        <w:rPr>
          <w:rFonts w:ascii="Times New Roman" w:hAnsi="Times New Roman" w:cs="Times New Roman"/>
        </w:rPr>
        <w:t>）维持在高通量运转。其中，下午</w:t>
      </w:r>
      <w:r w:rsidRPr="00792CB1">
        <w:rPr>
          <w:rFonts w:ascii="Times New Roman" w:hAnsi="Times New Roman" w:cs="Times New Roman"/>
        </w:rPr>
        <w:t>14:00</w:t>
      </w:r>
      <w:r w:rsidRPr="00792CB1">
        <w:rPr>
          <w:rFonts w:ascii="Times New Roman" w:hAnsi="Times New Roman" w:cs="Times New Roman"/>
        </w:rPr>
        <w:t>为全日车流的绝对最高峰。</w:t>
      </w:r>
    </w:p>
    <w:p w:rsidR="0000248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夜间回落：</w:t>
      </w:r>
      <w:r w:rsidRPr="00792CB1">
        <w:rPr>
          <w:rFonts w:ascii="Times New Roman" w:hAnsi="Times New Roman" w:cs="Times New Roman"/>
        </w:rPr>
        <w:t>18:00</w:t>
      </w:r>
      <w:r w:rsidRPr="00792CB1">
        <w:rPr>
          <w:rFonts w:ascii="Times New Roman" w:hAnsi="Times New Roman" w:cs="Times New Roman"/>
        </w:rPr>
        <w:t>后车流迅速持续断崖式下跌。</w:t>
      </w:r>
    </w:p>
    <w:p w:rsidR="00792CB1" w:rsidRP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002481" w:rsidRDefault="00000000" w:rsidP="00792CB1">
      <w:pPr>
        <w:ind w:firstLine="482"/>
        <w:rPr>
          <w:rFonts w:ascii="Times New Roman" w:hAnsi="Times New Roman" w:cs="Times New Roman"/>
          <w:b/>
          <w:bCs/>
        </w:rPr>
      </w:pPr>
      <w:r w:rsidRPr="00792CB1">
        <w:rPr>
          <w:rFonts w:ascii="Times New Roman" w:hAnsi="Times New Roman" w:cs="Times New Roman"/>
          <w:b/>
          <w:bCs/>
        </w:rPr>
        <w:t>6.</w:t>
      </w:r>
      <w:r w:rsidR="00792CB1" w:rsidRPr="00792CB1">
        <w:rPr>
          <w:rFonts w:ascii="Times New Roman" w:hAnsi="Times New Roman" w:cs="Times New Roman" w:hint="eastAsia"/>
          <w:b/>
          <w:bCs/>
        </w:rPr>
        <w:t xml:space="preserve"> </w:t>
      </w:r>
      <w:r w:rsidRPr="00792CB1">
        <w:rPr>
          <w:rFonts w:ascii="Times New Roman" w:hAnsi="Times New Roman" w:cs="Times New Roman"/>
          <w:b/>
          <w:bCs/>
        </w:rPr>
        <w:t>工作日与双休日车流量对比</w:t>
      </w:r>
    </w:p>
    <w:p w:rsidR="00792CB1" w:rsidRPr="00792CB1" w:rsidRDefault="00792CB1" w:rsidP="00792CB1">
      <w:pPr>
        <w:ind w:firstLine="482"/>
        <w:rPr>
          <w:rFonts w:ascii="Times New Roman" w:hAnsi="Times New Roman" w:cs="Times New Roman"/>
          <w:b/>
          <w:bCs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分析方法：</w:t>
      </w:r>
      <w:r w:rsidRPr="00792CB1">
        <w:rPr>
          <w:rFonts w:ascii="Times New Roman" w:hAnsi="Times New Roman" w:cs="Times New Roman"/>
        </w:rPr>
        <w:t> </w:t>
      </w:r>
      <w:r w:rsidRPr="00792CB1">
        <w:rPr>
          <w:rFonts w:ascii="Times New Roman" w:hAnsi="Times New Roman" w:cs="Times New Roman"/>
        </w:rPr>
        <w:t>将日期映射为星期</w:t>
      </w:r>
      <w:r w:rsidRPr="00792CB1">
        <w:rPr>
          <w:rFonts w:ascii="Times New Roman" w:hAnsi="Times New Roman" w:cs="Times New Roman"/>
        </w:rPr>
        <w:t>(0-4</w:t>
      </w:r>
      <w:r w:rsidRPr="00792CB1">
        <w:rPr>
          <w:rFonts w:ascii="Times New Roman" w:hAnsi="Times New Roman" w:cs="Times New Roman"/>
        </w:rPr>
        <w:t>为工作日，</w:t>
      </w:r>
      <w:r w:rsidRPr="00792CB1">
        <w:rPr>
          <w:rFonts w:ascii="Times New Roman" w:hAnsi="Times New Roman" w:cs="Times New Roman"/>
        </w:rPr>
        <w:t>5-6</w:t>
      </w:r>
      <w:r w:rsidRPr="00792CB1">
        <w:rPr>
          <w:rFonts w:ascii="Times New Roman" w:hAnsi="Times New Roman" w:cs="Times New Roman"/>
        </w:rPr>
        <w:t>为双休日</w:t>
      </w:r>
      <w:r w:rsidRPr="00792CB1">
        <w:rPr>
          <w:rFonts w:ascii="Times New Roman" w:hAnsi="Times New Roman" w:cs="Times New Roman"/>
        </w:rPr>
        <w:t>)</w:t>
      </w:r>
      <w:r w:rsidRPr="00792CB1">
        <w:rPr>
          <w:rFonts w:ascii="Times New Roman" w:hAnsi="Times New Roman" w:cs="Times New Roman"/>
        </w:rPr>
        <w:t>，汇总分析总流量和分车型流量的时间分布。</w:t>
      </w:r>
    </w:p>
    <w:p w:rsidR="00002481" w:rsidRPr="00792CB1" w:rsidRDefault="00000000" w:rsidP="00D3710C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总体对比图：</w:t>
      </w:r>
      <w:r w:rsidRPr="00792CB1">
        <w:rPr>
          <w:rFonts w:ascii="Times New Roman" w:hAnsi="Times New Roman" w:cs="Times New Roman"/>
        </w:rPr>
        <w:t> </w:t>
      </w:r>
    </w:p>
    <w:p w:rsidR="00D3710C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807460" cy="1903731"/>
            <wp:effectExtent l="0" t="0" r="2540" b="1270"/>
            <wp:docPr id="665967684" name="图片 1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67684" name="图片 11" descr="图表, 折线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522" cy="192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B1" w:rsidRPr="00792CB1" w:rsidRDefault="00792CB1" w:rsidP="00D3710C">
      <w:pPr>
        <w:ind w:firstLineChars="0" w:firstLine="0"/>
        <w:jc w:val="center"/>
        <w:rPr>
          <w:rFonts w:ascii="Times New Roman" w:hAnsi="Times New Roman" w:cs="Times New Roman"/>
        </w:rPr>
      </w:pPr>
    </w:p>
    <w:p w:rsidR="00002481" w:rsidRDefault="00000000" w:rsidP="00D3710C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各车型工作日情况：</w:t>
      </w:r>
    </w:p>
    <w:p w:rsidR="00792CB1" w:rsidRPr="00792CB1" w:rsidRDefault="00792CB1" w:rsidP="00D3710C">
      <w:pPr>
        <w:ind w:firstLine="480"/>
        <w:rPr>
          <w:rFonts w:ascii="Times New Roman" w:hAnsi="Times New Roman" w:cs="Times New Roman"/>
        </w:rPr>
      </w:pPr>
    </w:p>
    <w:p w:rsidR="00D3710C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644909" cy="2082679"/>
            <wp:effectExtent l="0" t="0" r="0" b="635"/>
            <wp:docPr id="1303675761" name="图片 1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5761" name="图片 12" descr="图表, 折线图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047" cy="21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B1" w:rsidRPr="00792CB1" w:rsidRDefault="00792CB1" w:rsidP="00D3710C">
      <w:pPr>
        <w:ind w:firstLineChars="0" w:firstLine="0"/>
        <w:jc w:val="center"/>
        <w:rPr>
          <w:rFonts w:ascii="Times New Roman" w:hAnsi="Times New Roman" w:cs="Times New Roman"/>
        </w:rPr>
      </w:pPr>
    </w:p>
    <w:p w:rsid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各车型双休情况：</w:t>
      </w:r>
    </w:p>
    <w:p w:rsidR="00792CB1" w:rsidRPr="00792CB1" w:rsidRDefault="00792CB1" w:rsidP="00792CB1">
      <w:pPr>
        <w:ind w:firstLine="480"/>
        <w:rPr>
          <w:rFonts w:ascii="Times New Roman" w:hAnsi="Times New Roman" w:cs="Times New Roman"/>
        </w:rPr>
      </w:pPr>
    </w:p>
    <w:p w:rsidR="00D3710C" w:rsidRDefault="00D3710C" w:rsidP="00D3710C">
      <w:pPr>
        <w:ind w:firstLineChars="0" w:firstLine="0"/>
        <w:jc w:val="center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  <w:noProof/>
        </w:rPr>
        <w:drawing>
          <wp:inline distT="0" distB="0" distL="0" distR="0">
            <wp:extent cx="3782860" cy="2161504"/>
            <wp:effectExtent l="0" t="0" r="1905" b="0"/>
            <wp:docPr id="2282164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16456" name="图片 2282164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056" cy="22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B1" w:rsidRPr="00792CB1" w:rsidRDefault="00792CB1" w:rsidP="00D3710C">
      <w:pPr>
        <w:ind w:firstLineChars="0" w:firstLine="0"/>
        <w:jc w:val="center"/>
        <w:rPr>
          <w:rFonts w:ascii="Times New Roman" w:hAnsi="Times New Roman" w:cs="Times New Roman"/>
        </w:rPr>
      </w:pP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深度规律分析：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总量形态差异：工作日曲线有清晰的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早、晚、午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多重波峰形态，通勤特征明显；而双休日的车流爬升更晚（早高峰推迟至</w:t>
      </w:r>
      <w:r w:rsidRPr="00792CB1">
        <w:rPr>
          <w:rFonts w:ascii="Times New Roman" w:hAnsi="Times New Roman" w:cs="Times New Roman"/>
        </w:rPr>
        <w:t>9-10</w:t>
      </w:r>
      <w:r w:rsidRPr="00792CB1">
        <w:rPr>
          <w:rFonts w:ascii="Times New Roman" w:hAnsi="Times New Roman" w:cs="Times New Roman"/>
        </w:rPr>
        <w:t>点开始），白日呈现为一个饱满的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单峰曲线</w:t>
      </w:r>
      <w:r w:rsidRPr="00792CB1">
        <w:rPr>
          <w:rFonts w:ascii="Times New Roman" w:hAnsi="Times New Roman" w:cs="Times New Roman"/>
        </w:rPr>
        <w:t>"</w:t>
      </w:r>
      <w:r w:rsidRPr="00792CB1">
        <w:rPr>
          <w:rFonts w:ascii="Times New Roman" w:hAnsi="Times New Roman" w:cs="Times New Roman"/>
        </w:rPr>
        <w:t>，表明双休日以休闲自驾游为主，时间相对集中。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车型分化明显（重要发现）：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A</w:t>
      </w:r>
      <w:r w:rsidRPr="00792CB1">
        <w:rPr>
          <w:rFonts w:ascii="Times New Roman" w:hAnsi="Times New Roman" w:cs="Times New Roman"/>
        </w:rPr>
        <w:t>类车（小客车）：主导了双休日的车流量波峰，完美贴合单峰休闲特征。</w:t>
      </w:r>
    </w:p>
    <w:p w:rsidR="00002481" w:rsidRPr="00792CB1" w:rsidRDefault="00000000" w:rsidP="00792CB1">
      <w:pPr>
        <w:ind w:firstLine="480"/>
        <w:rPr>
          <w:rFonts w:ascii="Times New Roman" w:hAnsi="Times New Roman" w:cs="Times New Roman"/>
        </w:rPr>
      </w:pPr>
      <w:r w:rsidRPr="00792CB1">
        <w:rPr>
          <w:rFonts w:ascii="Times New Roman" w:hAnsi="Times New Roman" w:cs="Times New Roman"/>
        </w:rPr>
        <w:t>F</w:t>
      </w:r>
      <w:r w:rsidRPr="00792CB1">
        <w:rPr>
          <w:rFonts w:ascii="Times New Roman" w:hAnsi="Times New Roman" w:cs="Times New Roman"/>
        </w:rPr>
        <w:t>等重型货运车：在工作日和双休日的曲线上表现出了极强的稳定性和低波动性。无论早晚，大货车的通行量受节假日影响很小。这说明跨城大宗物流是不</w:t>
      </w:r>
      <w:r w:rsidRPr="00792CB1">
        <w:rPr>
          <w:rFonts w:ascii="Times New Roman" w:hAnsi="Times New Roman" w:cs="Times New Roman"/>
        </w:rPr>
        <w:lastRenderedPageBreak/>
        <w:t>停歇的。</w:t>
      </w:r>
    </w:p>
    <w:p w:rsidR="00002481" w:rsidRPr="00792CB1" w:rsidRDefault="00002481" w:rsidP="00D3710C">
      <w:pPr>
        <w:ind w:firstLineChars="0" w:firstLine="0"/>
        <w:rPr>
          <w:rFonts w:ascii="Times New Roman" w:hAnsi="Times New Roman" w:cs="Times New Roman"/>
        </w:rPr>
      </w:pPr>
    </w:p>
    <w:sectPr w:rsidR="00002481" w:rsidRPr="00792C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FB0FFF"/>
    <w:multiLevelType w:val="multilevel"/>
    <w:tmpl w:val="CFFB0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139FE68"/>
    <w:multiLevelType w:val="multilevel"/>
    <w:tmpl w:val="D139FE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F5D4473C"/>
    <w:multiLevelType w:val="multilevel"/>
    <w:tmpl w:val="F5D447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EF7318C"/>
    <w:multiLevelType w:val="multilevel"/>
    <w:tmpl w:val="FEF731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80372857">
    <w:abstractNumId w:val="3"/>
  </w:num>
  <w:num w:numId="2" w16cid:durableId="924538012">
    <w:abstractNumId w:val="0"/>
  </w:num>
  <w:num w:numId="3" w16cid:durableId="295336826">
    <w:abstractNumId w:val="2"/>
  </w:num>
  <w:num w:numId="4" w16cid:durableId="916594387">
    <w:abstractNumId w:val="1"/>
  </w:num>
  <w:num w:numId="5" w16cid:durableId="21709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2481"/>
    <w:rsid w:val="00002481"/>
    <w:rsid w:val="00015EBD"/>
    <w:rsid w:val="00514836"/>
    <w:rsid w:val="00792CB1"/>
    <w:rsid w:val="00AB3AA6"/>
    <w:rsid w:val="00D3710C"/>
    <w:rsid w:val="00E460EC"/>
    <w:rsid w:val="BFE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CD7F5"/>
  <w15:docId w15:val="{28E1BE34-6267-8443-93CA-A0E7BE1B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2CB1"/>
    <w:pPr>
      <w:widowControl w:val="0"/>
      <w:snapToGrid w:val="0"/>
      <w:spacing w:line="360" w:lineRule="auto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table" w:customStyle="1" w:styleId="10">
    <w:name w:val="样式1"/>
    <w:basedOn w:val="a1"/>
    <w:uiPriority w:val="99"/>
    <w:rsid w:val="00D3710C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Mike Zhuang</cp:lastModifiedBy>
  <cp:revision>4</cp:revision>
  <dcterms:created xsi:type="dcterms:W3CDTF">2026-03-07T13:20:00Z</dcterms:created>
  <dcterms:modified xsi:type="dcterms:W3CDTF">2026-03-07T06:30:00Z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0F17B19570A4003F81B7AB6954F07210_42</vt:lpwstr>
  </property>
</Properties>
</file>