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3"/>
            <w:tabs>
              <w:tab w:val="clear" w:pos="8546"/>
              <w:tab w:val="right" w:pos="9360" w:leader="dot"/>
            </w:tabs>
          </w:pPr>
          <w:r>
            <w:t xml:space="default">1.5.4 Estado del arte.</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con los cierres reales de la validación: (a) vista con conexión, (b) historial de días, (c) desglose del cierre del 26 de septiembre</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[34].</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[30].</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[30].</w:t>
      </w:r>
      <w:r>
        <w:t xml:space="preserve"/>
      </w:r>
    </w:p>
    <w:p>
      <w:pPr>
        <w:pStyle w:val="Cuerpo"/>
      </w:pPr>
      <w:r>
        <w:rPr>
          <w:b/>
          <w:bCs/>
        </w:rPr>
        <w:t xml:space="preserve">SYSTEM USABILITY SCALE (SUS): cuestionario estandarizado de diez afirmaciones, con escala de 1 a 5, que da un puntaje de usabilidad percibida entre 0 y 100 [32], [33].</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[31].</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estado del arte se desarrolla en el numeral 1.5.4 y en la Tabla 1.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El concepto de sistema de información se consolidó como el conjunto de personas, procesos, datos y tecnología que recogen, procesan, guardan y distribuyen información para una operación [6], [21]. De esa definición general salió, en las bases de datos, la distinción entre sistemas de procesamiento de transacciones (OLTP), hechos para operaciones cortas y frecuentes, y sistemas analíticos. Lo que se construyó aquí es un OLTP: registrar un pedido o un pago es una transacción corta [20], [22], [23].</w:t>
      </w:r>
    </w:p>
    <w:p>
      <w:pPr>
        <w:pStyle w:val="Cuerpo"/>
      </w:pPr>
      <w:r>
        <w:t xml:space="preserve">En la última década el debate pasó de informatizar tareas sueltas a describir cómo cambian las organizaciones con lo digital. Vial [24] define la transformación digital como un cambio organizacional apoyado en tecnologías digitales. Verhoef et al. [25] ordenan ese cambio en tres capas: digitización (pasar de análogo a digital), digitalización (usar lo digital en los procesos) y transformación. Este prototipo se sitúa en la digitalización de un proceso ya existente, no en un cambio del modelo de negocio. En pymes, Eller et al. [3], Garzoni et al. [26] y Sagala y Öri [27] documentan que la adopción depende de recursos, conectividad y de quién mantiene el sistema. Lutfi [6] y Diavastis et al. [28] evalúan el éxito de un sistema de información por la calidad, el uso y la satisfacción.</w:t>
      </w:r>
    </w:p>
    <w:p>
      <w:pPr>
        <w:pStyle w:val="Cuerpo"/>
      </w:pPr>
      <w:r>
        <w:t xml:space="preserve">La otra línea que aquí importa es dónde viven los datos cuando internet no es fiable. Durante años el diseño por defecto fue cloud-first: la operación crítica espera a la red. En contextos con conectividad limitada se documentó el diseño offline, por ejemplo en salud [29]. En 2019 Kleppmann et al. [7] formularon local-first: los datos viven en el equipo del usuario y la nube queda para respaldo y colaboración. Klokmose et al. [15], Haas et al. [16] y Litt et al. [30] llevaron esa idea a modelos de programación y a estado relacional local. En este trabajo, offline-first nombra el requisito de que el registro funcione sin internet [15], [16], y local-first nombra la arquitectura autoalojada en el PC del local [7].</w:t>
      </w:r>
    </w:p>
    <w:p>
      <w:pPr>
        <w:pStyle w:val="Cuerpo"/>
      </w:pPr>
      <w:r>
        <w:t xml:space="preserve">Trazabilidad, en este documento, es poder reconstruir el estado y el historial de cada pedido —prendas, pagos, abonos y cambios de estado— desde un único registro. Ese sentido guió la caracterización (OE1). La usabilidad se entiende como el grado en que los usuarios logran sus objetivos con eficacia, eficiencia y satisfacción [31]. Brooke [32] propuso la SUS como escala breve; Bangor et al. [33] y Sauro y Lewis [31] fijaron cómo leer el puntaje. Los requerimientos se verifican con pruebas de caja negra [34].</w:t>
      </w:r>
    </w:p>
    <w:p>
      <w:pPr>
        <w:pStyle w:val="Cuerpo"/>
      </w:pPr>
      <w:r>
        <w:t xml:space="preserve">Sincronización, aquí, no es un CRDT ni una réplica continua: es el respaldo periódico de SQLite y la consulta de solo lectura del panel remoto. El panel guarda en caché los últimos datos [15], [30]. La parte en la nube usa servicios administrados (NoOps, serverless, cloud-native) para no administrar servidores en el negocio [17], [18], [35], [36].</w:t>
      </w:r>
    </w:p>
    <w:p>
      <w:pPr>
        <w:pStyle w:val="Heading3"/>
        <w:jc w:val="left"/>
      </w:pPr>
      <w:r>
        <w:t xml:space="preserve">1.5.2 Marco Teórico.</w:t>
      </w:r>
    </w:p>
    <w:p>
      <w:pPr>
        <w:pStyle w:val="Cuerpo"/>
      </w:pPr>
      <w:r>
        <w:t xml:space="preserve">El trabajo se sostiene en Design Science Research. Hevner et al. [8] piden un artefacto, un ciclo de construcción y evaluación, y criterios de rigor. Peffers et al. [9] ordenan ese ciclo en identificar el problema, definir objetivos, diseñar, demostrar y evaluar. Delport, Von Solms y Gerber [37] recogen orientaciones metodológicas para aplicar DSR. Las tres fases de este proyecto (caracterizar, construir, validar) siguen ese orden. La ingeniería de requisitos se hizo según la ISO/IEC/IEEE 29148 [38].</w:t>
      </w:r>
    </w:p>
    <w:p>
      <w:pPr>
        <w:pStyle w:val="Cuerpo"/>
      </w:pPr>
      <w:r>
        <w:rPr>
          <w:b/>
          <w:bCs/>
        </w:rPr>
        <w:t xml:space="preserve">Para evaluar el prototipo se tomó de DeLone y McLean la calidad del sistema, el uso y la satisfacción [6], [39]. La usabilidad se midió con la SUS de Brooke [32], leída con Bangor et al. [33] y Sauro y Lewis [31]. Los casos de prueba se armaron con la ISO/IEC/IEEE 29119 [34]. El diseño de la medición es preexperimental, de un solo grupo con O1–X–O2 (numeral 1.6): describe un cambio observado junto con el uso del prototipo, no una relación causal.</w:t>
      </w:r>
    </w:p>
    <w:p>
      <w:pPr>
        <w:pStyle w:val="Cuerpo"/>
      </w:pPr>
      <w:r>
        <w:rPr>
          <w:b/>
          <w:bCs/>
        </w:rPr>
        <w:t xml:space="preserve">Se eligió local-first porque la conexión del local se cae y el registro de pedidos no podía quedar parado esperándola. Kleppmann et al. [7] describen esa idea; Klokmose et al. [15] y Haas et al. [16] la llevan a aplicaciones concretas. No se montó CRDT [7] ni el estado relacional reactivo de Litt et al. [30] porque en La Manuelita hay un solo PC y nadie edita el mismo pedido desde dos equipos. La regla de última escritura gana quedó solo por si algún día hay una segunda sede (numeral 3.6).</w:t>
      </w:r>
    </w:p>
    <w:p>
      <w:pPr>
        <w:pStyle w:val="Cuerpo"/>
      </w:pPr>
      <w:r>
        <w:rPr>
          <w:b/>
          <w:bCs/>
        </w:rPr>
        <w:t xml:space="preserve">Lo que sí va a la nube corre en Firebase, un servicio administrado, porque en el negocio nadie va a mantener un servidor [17], [18], [20], [23], [40]. El estado del arte comparado con este caso está en el numeral 1.5.4 y en la Tabla 1.</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[41].</w:t>
      </w:r>
    </w:p>
    <w:p>
      <w:pPr>
        <w:pStyle w:val="Cuerpo"/>
      </w:pPr>
      <w:r>
        <w:t xml:space="preserve">En Colombia, el artículo 15 de la Constitución Política reconoce el derecho de toda persona a conocer, actualizar y rectificar la información que se haya recogido sobre ella [42].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[43].</w:t>
      </w:r>
    </w:p>
    <w:p>
      <w:pPr>
        <w:pStyle w:val="Cuerpo"/>
      </w:pPr>
      <w:r>
        <w:t xml:space="preserve">El Decreto 1377 de 2013 reglamenta la autorización y las políticas de tratamiento de datos [44]. De estas normas salen el requisito RNF04 y las medidas del numeral 3.5. La Ley 527 de 1999 da validez a los mensajes de datos. Su artículo 10 les reconoce fuerza probatoria y su artículo 12 dice cómo deben conservarse [45].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3"/>
        <w:jc w:val="left"/>
      </w:pPr>
      <w:r>
        <w:t xml:space="preserve">1.5.4 Estado del arte.</w:t>
      </w:r>
    </w:p>
    <w:p>
      <w:pPr>
        <w:pStyle w:val="Cuerpo"/>
      </w:pPr>
      <w:r>
        <w:rPr>
          <w:b/>
          <w:bCs/>
        </w:rPr>
        <w:t xml:space="preserve">Los trabajos sobre digitalización de micronegocios y pymes describen recursos, barreras y resultados de adoptar sistemas de información [2], [3], [24], [25], [26], [27], [46], [47], [48]. En Colombia, Picón et al. [2] documentan la recuperación digital de micronegocios después de la pandemia. Ninguno de esos textos construye un prototipo de mostrador para una lavandería.</w:t>
      </w:r>
    </w:p>
    <w:p>
      <w:pPr>
        <w:pStyle w:val="Cuerpo"/>
      </w:pPr>
      <w:r>
        <w:rPr>
          <w:b/>
          <w:bCs/>
        </w:rPr>
        <w:t xml:space="preserve">En lavanderías, Portase et al. [10] asignan máquinas en tiempo real; Mutia et al. [11] y Achyani et al. [12] proponen aplicaciones web de gestión; Muhammad y Alfarid [13] siguen el estado del pedido en línea. Los cuatro suponen internet. La excepción es Rahmadani et al. [14]: una aplicación de escritorio sin conexión que reporta 35 % menos tiempo de procesamiento, sin respaldo en la nube ni consulta remota.</w:t>
      </w:r>
    </w:p>
    <w:p>
      <w:pPr>
        <w:pStyle w:val="Cuerpo"/>
      </w:pPr>
      <w:r>
        <w:rPr>
          <w:b/>
          <w:bCs/>
        </w:rPr>
        <w:t xml:space="preserve">En software, Kleppmann et al. [7], Klokmose et al. [15], Haas et al. [16] y Litt et al. [30] desarrollan local-first. Feldacker et al. [29] muestran una aplicación móvil para conectividad limitada en salud. Wen et al. [17], Cassel et al. [35], Stefanac y Colomo-Palacios [18], Dong et al. [20] y Deng et al. [36] cubren serverless, NoOps y bases cloud-native, útiles para el respaldo, no para el registro en el mostrador.</w:t>
      </w:r>
    </w:p>
    <w:p>
      <w:pPr>
        <w:pStyle w:val="Cuerpo"/>
      </w:pPr>
      <w:r>
        <w:rPr>
          <w:b/>
          <w:bCs/>
        </w:rPr>
        <w:t xml:space="preserve">La Tabla 1 ordena 27 trabajos por categoría, qué se tomó de cada uno y dónde se quedan cortos frente a La Manuelita. No se encontró un trabajo que junte registro local sin internet, respaldo y consulta remota de solo lectura para una microempresa de este tipo. Ese es el vacío que delimita el prototipo.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[46]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[47]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Rahmadani et al. [14]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TIN: Terapan Informatika Nusantara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Aplicación de escritorio sin conexión; reporta 35 % menos tiempo de procesamiento</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Sin respaldo en la nube ni consulta remota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[37].</w:t>
      </w:r>
    </w:p>
    <w:p>
      <w:pPr>
        <w:pStyle w:val="Cuerpo"/>
      </w:pPr>
      <w:r>
        <w:t xml:space="preserve">El software se desarrolló de forma iterativa e incremental, con ingeniería de requisitos según la norma ISO/IEC/IEEE 29148 [38].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 Cada indicador de la Tabla 2 se compara con su propia meta. El tercer objetivo se da por cumplido en tiempos y satisfacción si se cumplen las tres metas de decisión: al menos 40 % menos de tiempo de registro, al menos 40 % menos de tiempo de cierre y un puntaje SUS promedio de al menos 85. Las dos de tiempo se verifican con una prueba estadística (numeral 4.1). La de satisfacción se mide a tres personas y solo después del cambio, así que se evalúa de forma descriptiva. La frecuencia semanal de confusiones se mide y se reporta porque el objetivo general la incluye; no es una meta de sí o no del tercer objetivo, porque el número de semanas no da para decidirlo. El numeral 4.5.1 concluye que esa frecuencia no disminuyó de forma demostrable.</w:t>
      </w:r>
      <w:r>
        <w:t xml:space="preserve"/>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r>
        <w:trPr>
          <w:cantSplit/>
        </w:trPr>
        <w:tc>
          <w:tcPr>
            <w:vMerge w:val="continue"/>
            <w:tcBorders>
              <w:top w:val="single" w:color="7F7F7F" w:sz="4"/>
              <w:left w:val="single" w:color="7F7F7F" w:sz="4"/>
              <w:bottom w:val="single" w:color="7F7F7F" w:sz="4"/>
              <w:right w:val="single" w:color="7F7F7F" w:sz="4"/>
            </w:tcBorders>
          </w:tcPr>
          <w:p>
            <w:r>
              <w:t xml:space="preserve"/>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Frecuencia semanal de confusiones de pedidos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Se reporta en el numeral 4.5.1, dentro del análisis de la trazabilidad. El objetivo general la incluye; no es meta de sí o no del OE3</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 La prueba del panel remoto sin conexión (CF10) se ejecutó después del periodo de validación, con un cierre ficticio. El cambio manual de estado permite marcar un pedido como Entregado con saldo pendiente (casos CF04 y CF05). El plan formal de 13 casos funcionales se ejecutó el 13 y el 14 de octubre, después del periodo de campo. El cierre y el SUS se midieron con n = 3. Los autores construyeron el prototipo y también lo cronometraron.</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432294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4322940"/>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con los cierres reales de la validación: (a) vista con conexión, (b) historial de días, (c) desglose del cierre del 26 de septiembre. Captura del prototipo, 28 de octubre de 2026.</w:t>
      </w:r>
    </w:p>
    <w:p>
      <w:pPr>
        <w:pStyle w:val="Cuerpo"/>
      </w:pPr>
      <w:r>
        <w:t xml:space="preserve">La Figura 17 muestra el panel alojado (lavaseco-la-manuelita.web.app) con los tres cierres reales de la validación: 12, 19 y 26 de septiembre, con ganancia neta de $708.000, $887.000 y $830.000, y ventas por medio de pago iguales a las de la Tabla 13. El efectivo en caja del panel ($456.000, $527.000 y $57.000) no incluye el fondo inicial de $100.000, porque el sistema aún no lo registra (capítulo 6). Las capturas se tomaron el 28 de octubre de 2026. La columna Salidas del historial marca 0 porque en esos sábados el prototipo se usó para registrar las entradas del día; las prendas se entregan en jornadas posteriores y esas entregas no se marcaron como salidas en el sistema el mismo sábado.</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Durante la validación, cada uno de los tres cierres escribió su resumen en Firestore al momento de hacerse, y el panel remoto los muestra con las cifras de la Tabla 13 (Figura 17).</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Cierres reales de la validación visibles en el panel remoto (Figura 17)</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En CF05, el cambio manual de estado permite marcar un pedido como Entregado con saldo pendiente; el botón habitual de entrega sí lo bloquea (numeral 4.2).</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La prueba se ejecutó después de la validación con un cierre ficticio; los cierres reales de la validación sí están en el panel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Esta prueba se hizo después del periodo de validación; los tres cierres reales ya estaban en el panel (Figura 17).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El fondo inicial de $100.000 se descontó manualmente al contar el cajón, porque el sistema aún no lo registra (capítulo 6).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[32], un cuestionario de 10 afirmaciones con escala de 1 a 5 que da un puntaje de 0 a 100. Un puntaje de 68 es el promedio, y uno de 80.3 o más se considera excelente [31], [33].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Frecuencia semanal de confusiones de pedidos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Disminución demostrable (objetivo general)</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1.2 / semana</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2.1 / semana; prueba de razón de tasas p = 0.28 (numeral 4.5.1)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No</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[50].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muestra los cierres reales de la validación desde Firestore (Figura 17).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automáticamente la escritura del resumen del cierre en Firestore cuando falle, y avisar en pantalla mientras el cierre no se haya replicado. Hoy, si la conexión se cae al momento del cierre, el cierre queda guardado en el equipo local, pero el error solo se registra en la consola del servidor y la gerente no vería ese día en el panel remoto. Dada la conexión inestable del local (numeral 2.4), conviene que esa falla sea visible y se corrija sola.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ISO 690 numérica,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[en línea]. Bogotá: DANE, 2025 [consulta: 12 octubre 2026]. Disponible en: https://www.dane.gov.co/files/operaciones/EMICRON/bol-EMICRON2024.pdf</w:t>
      </w:r>
    </w:p>
    <w:p>
      <w:pPr>
        <w:pStyle w:val="Referencia"/>
      </w:pPr>
      <w:r>
        <w:t xml:space="preserve">[2] PICÓN, C., DÍAZ ALONZO, R.C., DÁVILA, A. y PUELLO CABARCAS, D. Digitalization and post-pandemic recovery of micro-businesses in Colombia. Procedia Computer Science [en línea]. 2024, vol. 231, p. 566-570 [consulta: 12 octubre 2026]. DOI 10.1016/j.procs.2023.12.249. Disponible en: https://doi.org/10.1016/j.procs.2023.12.249</w:t>
      </w:r>
    </w:p>
    <w:p>
      <w:pPr>
        <w:pStyle w:val="Referencia"/>
      </w:pPr>
      <w:r>
        <w:t xml:space="preserve">[3] ELLER, R., ALFORD, P., KALLMÜNZER, A. y PETERS, M. Antecedents, consequences, and challenges of small and medium-sized enterprise digitalization. Journal of Business Research [en línea]. 2020, vol. 112, p. 119-127 [consulta: 12 octubre 2026]. DOI 10.1016/j.jbusres.2020.03.004. Disponible en: https://doi.org/10.1016/j.jbusres.2020.03.004</w:t>
      </w:r>
    </w:p>
    <w:p>
      <w:pPr>
        <w:pStyle w:val="Referencia"/>
      </w:pPr>
      <w:r>
        <w:t xml:space="preserve">[4] HIRS, J. y VARGAS, F. Prioridades para la digitalización empresarial en América Latina y el Caribe [en línea]. Washington: Banco Interamericano de Desarrollo, 2023 [consulta: 12 octubre 2026]. DOI 10.18235/0005166. Disponible en: https://doi.org/10.18235/0005166</w:t>
      </w:r>
    </w:p>
    <w:p>
      <w:pPr>
        <w:pStyle w:val="Referencia"/>
      </w:pPr>
      <w:r>
        <w:t xml:space="preserve">[5] FU, Q., NICHOLSON, G.L. y EASTON, J.M. Understanding data quality in a data-driven industry context. Journal of Industrial Information Integration [en línea]. 2024, vol. 42, art. n.º 100729 [consulta: 12 octubre 2026]. DOI 10.1016/j.jii.2024.100729. Disponible en: https://doi.org/10.1016/j.jii.2024.100729</w:t>
      </w:r>
    </w:p>
    <w:p>
      <w:pPr>
        <w:pStyle w:val="Referencia"/>
      </w:pPr>
      <w:r>
        <w:t xml:space="preserve">[6] LUTFI, A. Factors affecting the success of accounting information system from the lens of DeLone and McLean IS model. International Journal of Information Management Data Insights [en línea]. 2023, vol. 3, no. 2, art. n.º 100202 [consulta: 12 octubre 2026]. DOI 10.1016/j.jjimei.2023.100202. Disponible en: https://doi.org/10.1016/j.jjimei.2023.100202</w:t>
      </w:r>
    </w:p>
    <w:p>
      <w:pPr>
        <w:pStyle w:val="Referencia"/>
      </w:pPr>
      <w:r>
        <w:t xml:space="preserve">[7] KLEPPMANN, M., WIGGINS, A., VAN HARDENBERG, P. y MCGRANAGHAN, M. Local-first software: you own your data, in spite of the cloud. En: Proceedings of the 2019 ACM SIGPLAN Onward! [en línea]. Nueva York: ACM, 2019, p. 154-178 [consulta: 12 octubre 2026]. DOI 10.1145/3359591.3359737. Disponible en: https://doi.org/10.1145/3359591.3359737</w:t>
      </w:r>
    </w:p>
    <w:p>
      <w:pPr>
        <w:pStyle w:val="Referencia"/>
      </w:pPr>
      <w:r>
        <w:t xml:space="preserve">[8] HEVNER, A.R., MARCH, S.T., PARK, J. y RAM, S. Design science in information systems research. MIS Quarterly [en línea]. 2004, vol. 28, no. 1, p. 75-105 [consulta: 12 octubre 2026]. DOI 10.2307/25148625. Disponible en: https://doi.org/10.2307/25148625</w:t>
      </w:r>
    </w:p>
    <w:p>
      <w:pPr>
        <w:pStyle w:val="Referencia"/>
      </w:pPr>
      <w:r>
        <w:t xml:space="preserve">[9] PEFFERS, K., TUUNANEN, T., ROTHENBERGER, M.A. y CHATTERJEE, S. A design science research methodology for information systems research. Journal of Management Information Systems [en línea]. 2007, vol. 24, no. 3, p. 45-77 [consulta: 12 octubre 2026]. DOI 10.2753/MIS0742-1222240302. Disponible en: https://doi.org/10.2753/MIS0742-1222240302</w:t>
      </w:r>
    </w:p>
    <w:p>
      <w:pPr>
        <w:pStyle w:val="Referencia"/>
      </w:pPr>
      <w:r>
        <w:t xml:space="preserve">[10] PORTASE, R.L., TOLAS, R. y POTOLEA, R. SmartLaundry: a real-time system for public laundry allocation in smart cities. Sensors [en línea]. 2024, vol. 24, no. 7, art. n.º 2159 [consulta: 12 octubre 2026]. DOI 10.3390/s24072159. Disponible en: https://doi.org/10.3390/s24072159</w:t>
      </w:r>
    </w:p>
    <w:p>
      <w:pPr>
        <w:pStyle w:val="Referencia"/>
      </w:pPr>
      <w:r>
        <w:t xml:space="preserve">[11] MUTIA, C., FAUZIAH, F., MEIDITRA, I., YUDA, F. y RAHMANSYAH, R. Designing a web-based laundry service application for Strala Laundry. J-INTECH [en línea]. 2025, vol. 13, no. 1, p. 78-85 [consulta: 12 octubre 2026]. DOI 10.32664/j-intech.v13i01.1820. Disponible en: https://doi.org/10.32664/j-intech.v13i01.1820</w:t>
      </w:r>
    </w:p>
    <w:p>
      <w:pPr>
        <w:pStyle w:val="Referencia"/>
      </w:pPr>
      <w:r>
        <w:t xml:space="preserve">[12] ACHYANI, Y.E., AULIANITA, R. y MUKHAYAROH, A. Web-based laundry service information system using Rapid Application Development method. Paradigma: Jurnal Komputer dan Informatika [en línea]. 2024, vol. 26, no. 1, p. 17-23 [consulta: 12 octubre 2026]. DOI 10.31294/p.v26i1.3231. Disponible en: https://doi.org/10.31294/p.v26i1.3231</w:t>
      </w:r>
    </w:p>
    <w:p>
      <w:pPr>
        <w:pStyle w:val="Referencia"/>
      </w:pPr>
      <w:r>
        <w:t xml:space="preserve">[13] MUHAMMAD, N. y ALFARID, M.N.N. Implementation of web-based real-time laundry status tracking system. Journal of Information Technology and Its Utilization [en línea]. 2025, vol. 8, no. 2, p. 45-51 [consulta: 12 octubre 2026]. DOI 10.56873/jitu.8.2.6039. Disponible en: https://doi.org/10.56873/jitu.8.2.6039</w:t>
      </w:r>
    </w:p>
    <w:p>
      <w:pPr>
        <w:pStyle w:val="Referencia"/>
      </w:pPr>
      <w:r>
        <w:t xml:space="preserve">[14] RAHMADANI, N.F. et al. Design, development, and implementation of a desktop-based laundry management application for optimizing operational efficiency. TIN: Terapan Informatika Nusantara [en línea]. 2025, vol. 5, no. 9, p. 504-518 [consulta: 12 octubre 2026]. DOI 10.47065/tin.v5i9.7045. Disponible en: https://doi.org/10.47065/tin.v5i9.7045</w:t>
      </w:r>
    </w:p>
    <w:p>
      <w:pPr>
        <w:pStyle w:val="Referencia"/>
      </w:pPr>
      <w:r>
        <w:t xml:space="preserve">[15] KLOKMOSE, C.N., EAGAN, J.R. y VAN HARDENBERG, P. MyWebstrates: Webstrates as local-first software. En: Proceedings of the 37th Annual ACM Symposium on User Interface Software and Technology [en línea]. Nueva York: ACM, 2024 [consulta: 12 octubre 2026]. DOI 10.1145/3654777.3676445. Disponible en: https://doi.org/10.1145/3654777.3676445</w:t>
      </w:r>
    </w:p>
    <w:p>
      <w:pPr>
        <w:pStyle w:val="Referencia"/>
      </w:pPr>
      <w:r>
        <w:t xml:space="preserve">[16] HAAS, J., MOGK, R., YANAKIEVA, E., BIENIUSA, A. y MEZINI, M. LoRe: a programming model for verifiably safe local-first software. ACM Transactions on Programming Languages and Systems [en línea]. 2024, vol. 46, no. 1, art. n.º 2 [consulta: 12 octubre 2026]. DOI 10.1145/3633769. Disponible en: https://doi.org/10.1145/3633769</w:t>
      </w:r>
    </w:p>
    <w:p>
      <w:pPr>
        <w:pStyle w:val="Referencia"/>
      </w:pPr>
      <w:r>
        <w:t xml:space="preserve">[17] WEN, J., CHEN, Z., JIN, X. y LIU, X. Rise of the planet of serverless computing: a systematic review. ACM Transactions on Software Engineering and Methodology [en línea]. 2023, vol. 32, no. 5, art. n.º 131 [consulta: 12 octubre 2026]. DOI 10.1145/3579643. Disponible en: https://doi.org/10.1145/3579643</w:t>
      </w:r>
    </w:p>
    <w:p>
      <w:pPr>
        <w:pStyle w:val="Referencia"/>
      </w:pPr>
      <w:r>
        <w:t xml:space="preserve">[18] STEFANAC, T. y COLOMO-PALACIOS, R. NoOps: a multivocal literature review. Procedia Computer Science [en línea]. 2022, vol. 196, p. 167-174 [consulta: 12 octubre 2026]. DOI 10.1016/j.procs.2021.12.002. Disponible en: https://doi.org/10.1016/j.procs.2021.12.002</w:t>
      </w:r>
    </w:p>
    <w:p>
      <w:pPr>
        <w:pStyle w:val="Referencia"/>
      </w:pPr>
      <w:r>
        <w:t xml:space="preserve">[19] CONSEJO NACIONAL DE POLÍTICA ECONÓMICA Y SOCIAL (CONPES). Documento CONPES 3975: Política nacional para la transformación digital e inteligencia artificial. Bogotá: Departamento Nacional de Planeación, 2019.</w:t>
      </w:r>
    </w:p>
    <w:p>
      <w:pPr>
        <w:pStyle w:val="Referencia"/>
      </w:pPr>
      <w:r>
        <w:t xml:space="preserve">[20] DONG, H., ZHANG, C., LI, G. y ZHANG, H. Cloud-native databases: a survey. IEEE Transactions on Knowledge and Data Engineering [en línea]. 2024, vol. 36, no. 12, p. 7772-7791 [consulta: 12 octubre 2026]. DOI 10.1109/TKDE.2024.3397508. Disponible en: https://doi.org/10.1109/TKDE.2024.3397508</w:t>
      </w:r>
    </w:p>
    <w:p>
      <w:pPr>
        <w:pStyle w:val="Referencia"/>
      </w:pPr>
      <w:r>
        <w:t xml:space="preserve">[21] VO VAN, H., SAREA, A.M. y SALEH, I. Accounting information systems and organizational performance in the cloud computing era. Sustainability Accounting, Management and Policy Journal [en línea]. 2024 [consulta: 12 octubre 2026]. DOI 10.1108/SAMPJ-01-2024-0044. Disponible en: https://doi.org/10.1108/SAMPJ-01-2024-0044</w:t>
      </w:r>
    </w:p>
    <w:p>
      <w:pPr>
        <w:pStyle w:val="Referencia"/>
      </w:pPr>
      <w:r>
        <w:t xml:space="preserve">[22] SHIOI, T. et al. Read-safe snapshots: an abort/wait-free serializable read method for read-only transactions on mixed OLTP/OLAP workloads. Information Systems [en línea]. 2024, vol. 124, art. n.º 102385 [consulta: 12 octubre 2026]. DOI 10.1016/j.is.2024.102385. Disponible en: https://doi.org/10.1016/j.is.2024.102385</w:t>
      </w:r>
    </w:p>
    <w:p>
      <w:pPr>
        <w:pStyle w:val="Referencia"/>
      </w:pPr>
      <w:r>
        <w:t xml:space="preserve">[23] HAUBENSCHILD, M. y LEIS, V. OLTP in the cloud: architectures, tradeoffs, and cost. The VLDB Journal [en línea]. 2025, vol. 34, no. 4, p. 1-25 [consulta: 12 octubre 2026]. DOI 10.1007/s00778-025-00913-2. Disponible en: https://doi.org/10.1007/s00778-025-00913-2</w:t>
      </w:r>
    </w:p>
    <w:p>
      <w:pPr>
        <w:pStyle w:val="Referencia"/>
      </w:pPr>
      <w:r>
        <w:t xml:space="preserve">[24] VIAL, G. Understanding digital transformation: a review and a research agenda. Journal of Strategic Information Systems [en línea]. 2019, vol. 28, no. 2, p. 118-144 [consulta: 12 octubre 2026]. DOI 10.1016/j.jsis.2019.01.003. Disponible en: https://doi.org/10.1016/j.jsis.2019.01.003</w:t>
      </w:r>
    </w:p>
    <w:p>
      <w:pPr>
        <w:pStyle w:val="Referencia"/>
      </w:pPr>
      <w:r>
        <w:t xml:space="preserve">[25] VERHOEF, P.C. et al. Digital transformation: a multidisciplinary reflection and research agenda. Journal of Business Research [en línea]. 2021, vol. 122, p. 889-901 [consulta: 12 octubre 2026]. DOI 10.1016/j.jbusres.2019.09.022. Disponible en: https://doi.org/10.1016/j.jbusres.2019.09.022</w:t>
      </w:r>
    </w:p>
    <w:p>
      <w:pPr>
        <w:pStyle w:val="Referencia"/>
      </w:pPr>
      <w:r>
        <w:t xml:space="preserve">[26] GARZONI, A., DE TURI, I., SECUNDO, G. y DEL VECCHIO, P. Fostering digital transformation of SMEs: a four levels approach. Management Decision [en línea]. 2020, vol. 58, no. 8, p. 1543-1562 [consulta: 12 octubre 2026]. DOI 10.1108/MD-07-2019-0939. Disponible en: https://doi.org/10.1108/MD-07-2019-0939</w:t>
      </w:r>
    </w:p>
    <w:p>
      <w:pPr>
        <w:pStyle w:val="Referencia"/>
      </w:pPr>
      <w:r>
        <w:t xml:space="preserve">[27] SAGALA, G.H. y ÖRI, D. Toward SMEs digital transformation success: a systematic literature review. Information Systems and e-Business Management [en línea]. 2024, vol. 22, p. 667-719 [consulta: 12 octubre 2026]. DOI 10.1007/s10257-024-00682-2. Disponible en: https://doi.org/10.1007/s10257-024-00682-2</w:t>
      </w:r>
    </w:p>
    <w:p>
      <w:pPr>
        <w:pStyle w:val="Referencia"/>
      </w:pPr>
      <w:r>
        <w:t xml:space="preserve">[28] DIAVASTIS, I.E., CHRYSAFIS, K.A. y PAPADOPOULOU, G.C. Determinants of accounting information systems success. International Journal of Financial Studies [en línea]. 2024, vol. 12, no. 2, art. n.º 42 [consulta: 12 octubre 2026]. DOI 10.3390/ijfs12020042. Disponible en: https://doi.org/10.3390/ijfs12020042</w:t>
      </w:r>
    </w:p>
    <w:p>
      <w:pPr>
        <w:pStyle w:val="Referencia"/>
      </w:pPr>
      <w:r>
        <w:t xml:space="preserve">[29] FELDACKER, C. et al. A community-based, mobile electronic medical record system app for high-quality, integrated antiretroviral therapy in Lilongwe, Malawi. JMIR Formative Research [en línea]. 2023, vol. 7, art. n.º e48671 [consulta: 12 octubre 2026]. DOI 10.2196/48671. Disponible en: https://doi.org/10.2196/48671</w:t>
      </w:r>
    </w:p>
    <w:p>
      <w:pPr>
        <w:pStyle w:val="Referencia"/>
      </w:pPr>
      <w:r>
        <w:t xml:space="preserve">[30] LITT, G., SCHIEFER, N., SCHICKLING, J. y JACKSON, D. Riffle: reactive relational state for local-first applications. En: Proceedings of the 36th Annual ACM Symposium on User Interface Software and Technology [en línea]. Nueva York: ACM, 2023 [consulta: 12 octubre 2026]. DOI 10.1145/3586183.3606801. Disponible en: https://doi.org/10.1145/3586183.3606801</w:t>
      </w:r>
    </w:p>
    <w:p>
      <w:pPr>
        <w:pStyle w:val="Referencia"/>
      </w:pPr>
      <w:r>
        <w:t xml:space="preserve">[31] SAURO, J. y LEWIS, J.R. Quantifying the User Experience: Practical Statistics for User Research. 2.ª ed. Cambridge, MA: Morgan Kaufmann, 2016.</w:t>
      </w:r>
    </w:p>
    <w:p>
      <w:pPr>
        <w:pStyle w:val="Referencia"/>
      </w:pPr>
      <w:r>
        <w:t xml:space="preserve">[32] BROOKE, J. SUS: a «quick and dirty» usability scale. En: JORDAN, P.W., THOMAS, B., WEERDMEESTER, B.A. y MCCLELLAND, I.L., eds. Usability Evaluation in Industry. Londres: Taylor &amp; Francis, 1996, p. 189-194.</w:t>
      </w:r>
    </w:p>
    <w:p>
      <w:pPr>
        <w:pStyle w:val="Referencia"/>
      </w:pPr>
      <w:r>
        <w:t xml:space="preserve">[33] BANGOR, A., KORTUM, P. y MILLER, J. Determining what individual SUS scores mean: adding an adjective rating scale. Journal of Usability Studies [en línea]. 2009, vol. 4, no. 3, p. 114-123 [consulta: 12 octubre 2026]. Disponible en: https://uxpajournal.org/determining-what-individual-sus-scores-mean-adding-an-adjective-rating-scale/</w:t>
      </w:r>
    </w:p>
    <w:p>
      <w:pPr>
        <w:pStyle w:val="Referencia"/>
      </w:pPr>
      <w:r>
        <w:t xml:space="preserve">[34] INTERNATIONAL ORGANIZATION FOR STANDARDIZATION. ISO/IEC/IEEE 29119-1:2022, Software and systems engineering — Software testing — Part 1: General concepts. Ginebra: ISO, 2022.</w:t>
      </w:r>
    </w:p>
    <w:p>
      <w:pPr>
        <w:pStyle w:val="Referencia"/>
      </w:pPr>
      <w:r>
        <w:t xml:space="preserve">[35] CASSEL, G.A.S. et al. Serverless computing for Internet of Things: a systematic literature review. Future Generation Computer Systems [en línea]. 2022, vol. 128, p. 299-316 [consulta: 12 octubre 2026]. DOI 10.1016/j.future.2021.10.020. Disponible en: https://doi.org/10.1016/j.future.2021.10.020</w:t>
      </w:r>
    </w:p>
    <w:p>
      <w:pPr>
        <w:pStyle w:val="Referencia"/>
      </w:pPr>
      <w:r>
        <w:t xml:space="preserve">[36] DENG, S. et al. Cloud-native computing: a survey from the perspective of services. Proceedings of the IEEE [en línea]. 2024, vol. 112, no. 1, p. 12-46 [consulta: 12 octubre 2026]. DOI 10.1109/JPROC.2024.3353855. Disponible en: https://doi.org/10.1109/JPROC.2024.3353855</w:t>
      </w:r>
    </w:p>
    <w:p>
      <w:pPr>
        <w:pStyle w:val="Referencia"/>
      </w:pPr>
      <w:r>
        <w:t xml:space="preserve">[37] DELPORT, P.M.J., VON SOLMS, R. y GERBER, M. Methodological Guidelines for Design Science Research. Procedia Computer Science [en línea]. 2024, vol. 237, p. 195-203 [consulta: 12 octubre 2026]. DOI 10.1016/j.procs.2024.05.096. Disponible en: https://doi.org/10.1016/j.procs.2024.05.096</w:t>
      </w:r>
    </w:p>
    <w:p>
      <w:pPr>
        <w:pStyle w:val="Referencia"/>
      </w:pPr>
      <w:r>
        <w:t xml:space="preserve">[38] INTERNATIONAL ORGANIZATION FOR STANDARDIZATION. ISO/IEC/IEEE 29148:2018, Systems and software engineering — Life cycle processes — Requirements engineering. Ginebra: ISO, 2018.</w:t>
      </w:r>
    </w:p>
    <w:p>
      <w:pPr>
        <w:pStyle w:val="Referencia"/>
      </w:pPr>
      <w:r>
        <w:t xml:space="preserve">[39] RULINAWATY et al. Investigating the influence of the updated DeLone and McLean information system (IS) success model on the effectiveness of learning management system (LMS) implementation. Cogent Education [en línea]. 2024, vol. 11, no. 1, art. n.º 2365611 [consulta: 12 octubre 2026]. DOI 10.1080/2331186X.2024.2365611. Disponible en: https://doi.org/10.1080/2331186X.2024.2365611</w:t>
      </w:r>
    </w:p>
    <w:p>
      <w:pPr>
        <w:pStyle w:val="Referencia"/>
      </w:pPr>
      <w:r>
        <w:t xml:space="preserve">[40] PLAZOTTA, M. y KLETTKE, M. Data architectures in cloud environments. Datenbank-Spektrum [en línea]. 2024, vol. 24, no. 3, p. 243-247 [consulta: 12 octubre 2026]. DOI 10.1007/s13222-024-00490-5. Disponible en: https://doi.org/10.1007/s13222-024-00490-5</w:t>
      </w:r>
    </w:p>
    <w:p>
      <w:pPr>
        <w:pStyle w:val="Referencia"/>
      </w:pPr>
      <w:r>
        <w:t xml:space="preserve">[41] UNIÓN EUROPEA. Parlamento Europeo y Consejo. Reglamento (UE) 2016/679, de 27 de abril de 2016 (Reglamento general de protección de datos). Diario Oficial de la Unión Europea, L 119, 4 mayo 2016, p. 1-88.</w:t>
      </w:r>
    </w:p>
    <w:p>
      <w:pPr>
        <w:pStyle w:val="Referencia"/>
      </w:pPr>
      <w:r>
        <w:t xml:space="preserve">[42] COLOMBIA. Asamblea Nacional Constituyente. Constitución Política de Colombia. Gaceta Constitucional, no. 116, 20 julio 1991.</w:t>
      </w:r>
    </w:p>
    <w:p>
      <w:pPr>
        <w:pStyle w:val="Referencia"/>
      </w:pPr>
      <w:r>
        <w:t xml:space="preserve">[43] COLOMBIA. Congreso de la República. Ley Estatutaria 1581 de 2012, por la cual se dictan disposiciones generales para la protección de datos personales. Diario Oficial, 17 octubre 2012.</w:t>
      </w:r>
    </w:p>
    <w:p>
      <w:pPr>
        <w:pStyle w:val="Referencia"/>
      </w:pPr>
      <w:r>
        <w:t xml:space="preserve">[44] COLOMBIA. Presidencia de la República. Decreto 1377 de 2013. Diario Oficial, 27 junio 2013.</w:t>
      </w:r>
    </w:p>
    <w:p>
      <w:pPr>
        <w:pStyle w:val="Referencia"/>
      </w:pPr>
      <w:r>
        <w:t xml:space="preserve">[45] COLOMBIA. Congreso de la República. Ley 527 de 1999, por medio de la cual se define y reglamenta el acceso y uso de los mensajes de datos, del comercio electrónico y de las firmas digitales. Diario Oficial, 18 agosto 1999.</w:t>
      </w:r>
    </w:p>
    <w:p>
      <w:pPr>
        <w:pStyle w:val="Referencia"/>
      </w:pPr>
      <w:r>
        <w:t xml:space="preserve">[46] MARINO-ROMERO, J.A., PALOS-SÁNCHEZ, P.R. y VELICIA-MARTÍN, F. Evolution of digital transformation in SMEs management through a bibliometric analysis. Technological Forecasting and Social Change [en línea]. 2024, vol. 199, art. n.º 123014 [consulta: 12 octubre 2026]. DOI 10.1016/j.techfore.2023.123014. Disponible en: https://doi.org/10.1016/j.techfore.2023.123014</w:t>
      </w:r>
    </w:p>
    <w:p>
      <w:pPr>
        <w:pStyle w:val="Referencia"/>
      </w:pPr>
      <w:r>
        <w:t xml:space="preserve">[47] KRAUS, S. et al. Digital transformation in business and management research. International Journal of Information Management [en línea]. 2022, vol. 63, art. n.º 102466 [consulta: 12 octubre 2026]. DOI 10.1016/j.ijinfomgt.2021.102466. Disponible en: https://doi.org/10.1016/j.ijinfomgt.2021.102466</w:t>
      </w:r>
    </w:p>
    <w:p>
      <w:pPr>
        <w:pStyle w:val="Referencia"/>
      </w:pPr>
      <w:r>
        <w:t xml:space="preserve">[48] MELO, I.C. et al. Sustainable digital transformation in small and medium enterprises (SMEs): a review on performance. Heliyon [en línea]. 2023, vol. 9, no. 3, art. n.º e13908 [consulta: 12 octubre 2026]. DOI 10.1016/j.heliyon.2023.e13908. Disponible en: https://doi.org/10.1016/j.heliyon.2023.e13908</w:t>
      </w:r>
    </w:p>
    <w:p>
      <w:pPr>
        <w:pStyle w:val="Referencia"/>
      </w:pPr>
      <w:r>
        <w:t xml:space="preserve">[49] SAAD, M. The influence of accounting information system adoption on business performance amid COVID-19. Computers in Human Behavior Reports [en línea]. 2023, vol. 10, art. n.º 100286 [consulta: 12 octubre 2026]. DOI 10.1016/j.chbr.2023.100286. Disponible en: https://doi.org/10.1016/j.chbr.2023.100286</w:t>
      </w:r>
    </w:p>
    <w:p>
      <w:pPr>
        <w:pStyle w:val="Referencia"/>
      </w:pPr>
      <w:r>
        <w:t xml:space="preserve">[50] COLOMBIA. Congreso de la República. Ley 2101 de 2021, por medio de la cual se reduce la jornada laboral semanal de manera gradual. Diario Oficial, 15 julio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[32].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