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9</w:t>
          </w:r>
        </w:p>
        <w:p>
          <w:pPr>
            <w:pStyle w:val="TOC1"/>
            <w:tabs>
              <w:tab w:val="clear" w:pos="9026"/>
              <w:tab w:val="right" w:pos="9360" w:leader="dot"/>
            </w:tabs>
          </w:pPr>
          <w:r>
            <w:t xml:space="default">RESUMEN</w:t>
            <w:tab/>
            <w:t xml:space="preserve">11</w:t>
          </w:r>
        </w:p>
        <w:p>
          <w:pPr>
            <w:pStyle w:val="TOC1"/>
            <w:tabs>
              <w:tab w:val="clear" w:pos="9026"/>
              <w:tab w:val="right" w:pos="9360" w:leader="dot"/>
            </w:tabs>
          </w:pPr>
          <w:r>
            <w:t xml:space="default">ABSTRACT</w:t>
            <w:tab/>
            <w:t xml:space="preserve">12</w:t>
          </w:r>
        </w:p>
        <w:p>
          <w:pPr>
            <w:pStyle w:val="TOC1"/>
            <w:tabs>
              <w:tab w:val="clear" w:pos="9026"/>
              <w:tab w:val="right" w:pos="9360" w:leader="dot"/>
            </w:tabs>
          </w:pPr>
          <w:r>
            <w:t xml:space="default">INTRODUCCIÓN</w:t>
            <w:tab/>
            <w:t xml:space="preserve">13</w:t>
          </w:r>
        </w:p>
        <w:p>
          <w:pPr>
            <w:pStyle w:val="TOC1"/>
            <w:tabs>
              <w:tab w:val="clear" w:pos="9026"/>
              <w:tab w:val="right" w:pos="9360" w:leader="dot"/>
            </w:tabs>
          </w:pPr>
          <w:r>
            <w:t xml:space="default">1. GENERALIDADES</w:t>
            <w:tab/>
            <w:t xml:space="preserve">14</w:t>
          </w:r>
        </w:p>
        <w:p>
          <w:pPr>
            <w:pStyle w:val="TOC2"/>
            <w:tabs>
              <w:tab w:val="clear" w:pos="8786"/>
              <w:tab w:val="right" w:pos="9360" w:leader="dot"/>
            </w:tabs>
          </w:pPr>
          <w:r>
            <w:t xml:space="default">1.1 ANTECEDENTES DEL PROBLEMA</w:t>
            <w:tab/>
            <w:t xml:space="preserve">14</w:t>
          </w:r>
        </w:p>
        <w:p>
          <w:pPr>
            <w:pStyle w:val="TOC2"/>
            <w:tabs>
              <w:tab w:val="clear" w:pos="8786"/>
              <w:tab w:val="right" w:pos="9360" w:leader="dot"/>
            </w:tabs>
          </w:pPr>
          <w:r>
            <w:t xml:space="default">1.2 PLANTEAMIENTO DEL PROBLEMA</w:t>
            <w:tab/>
            <w:t xml:space="preserve">14</w:t>
          </w:r>
        </w:p>
        <w:p>
          <w:pPr>
            <w:pStyle w:val="TOC2"/>
            <w:tabs>
              <w:tab w:val="clear" w:pos="8786"/>
              <w:tab w:val="right" w:pos="9360" w:leader="dot"/>
            </w:tabs>
          </w:pPr>
          <w:r>
            <w:t xml:space="default">1.3 JUSTIFICACIÓN</w:t>
            <w:tab/>
            <w:t xml:space="preserve">15</w:t>
          </w:r>
        </w:p>
        <w:p>
          <w:pPr>
            <w:pStyle w:val="TOC2"/>
            <w:tabs>
              <w:tab w:val="clear" w:pos="8786"/>
              <w:tab w:val="right" w:pos="9360" w:leader="dot"/>
            </w:tabs>
          </w:pPr>
          <w:r>
            <w:t xml:space="default">1.4 OBJETIVOS</w:t>
            <w:tab/>
            <w:t xml:space="preserve">15</w:t>
          </w:r>
        </w:p>
        <w:p>
          <w:pPr>
            <w:pStyle w:val="TOC3"/>
            <w:tabs>
              <w:tab w:val="clear" w:pos="8546"/>
              <w:tab w:val="right" w:pos="9360" w:leader="dot"/>
            </w:tabs>
          </w:pPr>
          <w:r>
            <w:t xml:space="default">1.4.1 Objetivo General.</w:t>
            <w:tab/>
            <w:t xml:space="preserve">15</w:t>
          </w:r>
        </w:p>
        <w:p>
          <w:pPr>
            <w:pStyle w:val="TOC3"/>
            <w:tabs>
              <w:tab w:val="clear" w:pos="8546"/>
              <w:tab w:val="right" w:pos="9360" w:leader="dot"/>
            </w:tabs>
          </w:pPr>
          <w:r>
            <w:t xml:space="default">1.4.2 Objetivos Específicos.</w:t>
            <w:tab/>
            <w:t xml:space="preserve">16</w:t>
          </w:r>
        </w:p>
        <w:p>
          <w:pPr>
            <w:pStyle w:val="TOC2"/>
            <w:tabs>
              <w:tab w:val="clear" w:pos="8786"/>
              <w:tab w:val="right" w:pos="9360" w:leader="dot"/>
            </w:tabs>
          </w:pPr>
          <w:r>
            <w:t xml:space="default">1.5 MARCOS DE REFERENCIA</w:t>
            <w:tab/>
            <w:t xml:space="preserve">16</w:t>
          </w:r>
        </w:p>
        <w:p>
          <w:pPr>
            <w:pStyle w:val="TOC3"/>
            <w:tabs>
              <w:tab w:val="clear" w:pos="8546"/>
              <w:tab w:val="right" w:pos="9360" w:leader="dot"/>
            </w:tabs>
          </w:pPr>
          <w:r>
            <w:t xml:space="default">1.5.1 Marco Conceptual.</w:t>
            <w:tab/>
            <w:t xml:space="preserve">16</w:t>
          </w:r>
        </w:p>
        <w:p>
          <w:pPr>
            <w:pStyle w:val="TOC3"/>
            <w:tabs>
              <w:tab w:val="clear" w:pos="8546"/>
              <w:tab w:val="right" w:pos="9360" w:leader="dot"/>
            </w:tabs>
          </w:pPr>
          <w:r>
            <w:t xml:space="default">1.5.2 Marco Teórico.</w:t>
            <w:tab/>
            <w:t xml:space="preserve">16</w:t>
          </w:r>
        </w:p>
        <w:p>
          <w:pPr>
            <w:pStyle w:val="TOC3"/>
            <w:tabs>
              <w:tab w:val="clear" w:pos="8546"/>
              <w:tab w:val="right" w:pos="9360" w:leader="dot"/>
            </w:tabs>
          </w:pPr>
          <w:r>
            <w:t xml:space="default">1.5.3 Marco Jurídico.</w:t>
            <w:tab/>
            <w:t xml:space="preserve">18</w:t>
          </w:r>
        </w:p>
        <w:p>
          <w:pPr>
            <w:pStyle w:val="TOC3"/>
            <w:tabs>
              <w:tab w:val="clear" w:pos="8546"/>
              <w:tab w:val="right" w:pos="9360" w:leader="dot"/>
            </w:tabs>
          </w:pPr>
          <w:r>
            <w:t xml:space="default">1.5.4 Estado del arte.</w:t>
            <w:tab/>
            <w:t xml:space="preserve">18</w:t>
          </w:r>
        </w:p>
        <w:p>
          <w:pPr>
            <w:pStyle w:val="TOC2"/>
            <w:tabs>
              <w:tab w:val="clear" w:pos="8786"/>
              <w:tab w:val="right" w:pos="9360" w:leader="dot"/>
            </w:tabs>
          </w:pPr>
          <w:r>
            <w:t xml:space="default">1.6 DISEÑO METODOLÓGICO</w:t>
            <w:tab/>
            <w:t xml:space="preserve">19</w:t>
          </w:r>
        </w:p>
        <w:p>
          <w:pPr>
            <w:pStyle w:val="TOC2"/>
            <w:tabs>
              <w:tab w:val="clear" w:pos="8786"/>
              <w:tab w:val="right" w:pos="9360" w:leader="dot"/>
            </w:tabs>
          </w:pPr>
          <w:r>
            <w:t xml:space="preserve">1.7 ALCANCE Y LIMITACIONES</w:t>
            <w:tab/>
            <w:t xml:space="preserve">21</w:t>
          </w:r>
        </w:p>
        <w:p>
          <w:pPr>
            <w:pStyle w:val="TOC1"/>
            <w:tabs>
              <w:tab w:val="clear" w:pos="9026"/>
              <w:tab w:val="right" w:pos="9360" w:leader="dot"/>
            </w:tabs>
          </w:pPr>
          <w:r>
            <w:t xml:space="default">2. CARACTERIZACIÓN DEL PROCESO OPERATIVO DE LAVASECO LA MANUELITA</w:t>
            <w:tab/>
            <w:t xml:space="preserve">23</w:t>
          </w:r>
        </w:p>
        <w:p>
          <w:pPr>
            <w:pStyle w:val="TOC2"/>
            <w:tabs>
              <w:tab w:val="clear" w:pos="8786"/>
              <w:tab w:val="right" w:pos="9360" w:leader="dot"/>
            </w:tabs>
          </w:pPr>
          <w:r>
            <w:t xml:space="default">2.1 INSTRUMENTOS APLICADOS</w:t>
            <w:tab/>
            <w:t xml:space="preserve">23</w:t>
          </w:r>
        </w:p>
        <w:p>
          <w:pPr>
            <w:pStyle w:val="TOC2"/>
            <w:tabs>
              <w:tab w:val="clear" w:pos="8786"/>
              <w:tab w:val="right" w:pos="9360" w:leader="dot"/>
            </w:tabs>
          </w:pPr>
          <w:r>
            <w:t xml:space="default">2.2 CARACTERIZACIÓN GENERAL DEL NEGOCIO</w:t>
            <w:tab/>
            <w:t xml:space="preserve">23</w:t>
          </w:r>
        </w:p>
        <w:p>
          <w:pPr>
            <w:pStyle w:val="TOC2"/>
            <w:tabs>
              <w:tab w:val="clear" w:pos="8786"/>
              <w:tab w:val="right" w:pos="9360" w:leader="dot"/>
            </w:tabs>
          </w:pPr>
          <w:r>
            <w:t xml:space="default">2.3 FLUJO DEL PROCESO OPERATIVO ACTUAL</w:t>
            <w:tab/>
            <w:t xml:space="preserve">23</w:t>
          </w:r>
        </w:p>
        <w:p>
          <w:pPr>
            <w:pStyle w:val="TOC2"/>
            <w:tabs>
              <w:tab w:val="clear" w:pos="8786"/>
              <w:tab w:val="right" w:pos="9360" w:leader="dot"/>
            </w:tabs>
          </w:pPr>
          <w:r>
            <w:t xml:space="default">2.4 PUNTOS CRÍTICOS IDENTIFICADOS</w:t>
            <w:tab/>
            <w:t xml:space="preserve">24</w:t>
          </w:r>
        </w:p>
        <w:p>
          <w:pPr>
            <w:pStyle w:val="TOC2"/>
            <w:tabs>
              <w:tab w:val="clear" w:pos="8786"/>
              <w:tab w:val="right" w:pos="9360" w:leader="dot"/>
            </w:tabs>
          </w:pPr>
          <w:r>
            <w:t xml:space="default">2.5 MATRIZ DE REQUERIMIENTOS</w:t>
            <w:tab/>
            <w:t xml:space="preserve">25</w:t>
          </w:r>
        </w:p>
        <w:p>
          <w:pPr>
            <w:pStyle w:val="TOC2"/>
            <w:tabs>
              <w:tab w:val="clear" w:pos="8786"/>
              <w:tab w:val="right" w:pos="9360" w:leader="dot"/>
            </w:tabs>
          </w:pPr>
          <w:r>
            <w:t xml:space="default">2.6 LÍNEA BASE DE INDICADORES</w:t>
            <w:tab/>
            <w:t xml:space="preserve">30</w:t>
          </w:r>
        </w:p>
        <w:p>
          <w:pPr>
            <w:pStyle w:val="TOC2"/>
            <w:tabs>
              <w:tab w:val="clear" w:pos="8786"/>
              <w:tab w:val="right" w:pos="9360" w:leader="dot"/>
            </w:tabs>
          </w:pPr>
          <w:r>
            <w:t xml:space="default">2.7 EVIDENCIA</w:t>
            <w:tab/>
            <w:t xml:space="preserve">33</w:t>
          </w:r>
        </w:p>
        <w:p>
          <w:pPr>
            <w:pStyle w:val="TOC2"/>
            <w:tabs>
              <w:tab w:val="clear" w:pos="8786"/>
              <w:tab w:val="right" w:pos="9360" w:leader="dot"/>
            </w:tabs>
          </w:pPr>
          <w:r>
            <w:t xml:space="default">2.8 ANÁLISIS DE RESULTADOS Y CUMPLIMIENTO DEL OBJETIVO</w:t>
            <w:tab/>
            <w:t xml:space="preserve">33</w:t>
          </w:r>
        </w:p>
        <w:p>
          <w:pPr>
            <w:pStyle w:val="TOC1"/>
            <w:tabs>
              <w:tab w:val="clear" w:pos="9026"/>
              <w:tab w:val="right" w:pos="9360" w:leader="dot"/>
            </w:tabs>
          </w:pPr>
          <w:r>
            <w:t xml:space="default">3. DESARROLLO DEL SEGUNDO OBJETIVO</w:t>
            <w:tab/>
            <w:t xml:space="preserve">35</w:t>
          </w:r>
        </w:p>
        <w:p>
          <w:pPr>
            <w:pStyle w:val="TOC2"/>
            <w:tabs>
              <w:tab w:val="clear" w:pos="8786"/>
              <w:tab w:val="right" w:pos="9360" w:leader="dot"/>
            </w:tabs>
          </w:pPr>
          <w:r>
            <w:t xml:space="default">3.1 DECISIÓN Y AJUSTE DE LA ARQUITECTURA OFFLINE-FIRST</w:t>
            <w:tab/>
            <w:t xml:space="preserve">35</w:t>
          </w:r>
        </w:p>
        <w:p>
          <w:pPr>
            <w:pStyle w:val="TOC2"/>
            <w:tabs>
              <w:tab w:val="clear" w:pos="8786"/>
              <w:tab w:val="right" w:pos="9360" w:leader="dot"/>
            </w:tabs>
          </w:pPr>
          <w:r>
            <w:t xml:space="default">3.2 MODELO DE DATOS E INFRAESTRUCTURA TECNOLÓGICA</w:t>
            <w:tab/>
            <w:t xml:space="preserve">36</w:t>
          </w:r>
        </w:p>
        <w:p>
          <w:pPr>
            <w:pStyle w:val="TOC2"/>
            <w:tabs>
              <w:tab w:val="clear" w:pos="8786"/>
              <w:tab w:val="right" w:pos="9360" w:leader="dot"/>
            </w:tabs>
          </w:pPr>
          <w:r>
            <w:t xml:space="default">3.3 CONSTRUCCIÓN DE MÓDULOS</w:t>
            <w:tab/>
            <w:t xml:space="preserve">37</w:t>
          </w:r>
        </w:p>
        <w:p>
          <w:pPr>
            <w:pStyle w:val="TOC2"/>
            <w:tabs>
              <w:tab w:val="clear" w:pos="8786"/>
              <w:tab w:val="right" w:pos="9360" w:leader="dot"/>
            </w:tabs>
          </w:pPr>
          <w:r>
            <w:t xml:space="default">3.4 PERSISTENCIA LOCAL Y MECANISMO DE SINCRONIZACIÓN</w:t>
            <w:tab/>
            <w:t xml:space="preserve">45</w:t>
          </w:r>
        </w:p>
        <w:p>
          <w:pPr>
            <w:pStyle w:val="TOC2"/>
            <w:tabs>
              <w:tab w:val="clear" w:pos="8786"/>
              <w:tab w:val="right" w:pos="9360" w:leader="dot"/>
            </w:tabs>
          </w:pPr>
          <w:r>
            <w:t xml:space="default">3.5 PROTECCIÓN DE DATOS PERSONALES</w:t>
            <w:tab/>
            <w:t xml:space="preserve">46</w:t>
          </w:r>
        </w:p>
        <w:p>
          <w:pPr>
            <w:pStyle w:val="TOC2"/>
            <w:tabs>
              <w:tab w:val="clear" w:pos="8786"/>
              <w:tab w:val="right" w:pos="9360" w:leader="dot"/>
            </w:tabs>
          </w:pPr>
          <w:r>
            <w:t xml:space="default">3.6 PREPARACIÓN PARA UNA EVENTUAL OPERACIÓN MULTI-SEDE</w:t>
            <w:tab/>
            <w:t xml:space="preserve">46</w:t>
          </w:r>
        </w:p>
        <w:p>
          <w:pPr>
            <w:pStyle w:val="TOC2"/>
            <w:tabs>
              <w:tab w:val="clear" w:pos="8786"/>
              <w:tab w:val="right" w:pos="9360" w:leader="dot"/>
            </w:tabs>
          </w:pPr>
          <w:r>
            <w:t xml:space="default">3.7 ANÁLISIS DE RESULTADOS Y CUMPLIMIENTO DEL OBJETIVO</w:t>
            <w:tab/>
            <w:t xml:space="preserve">46</w:t>
          </w:r>
        </w:p>
        <w:p>
          <w:pPr>
            <w:pStyle w:val="TOC1"/>
            <w:tabs>
              <w:tab w:val="clear" w:pos="9026"/>
              <w:tab w:val="right" w:pos="9360" w:leader="dot"/>
            </w:tabs>
          </w:pPr>
          <w:r>
            <w:t xml:space="default">4. DESARROLLO DEL TERCER OBJETIVO</w:t>
            <w:tab/>
            <w:t xml:space="preserve">48</w:t>
          </w:r>
        </w:p>
        <w:p>
          <w:pPr>
            <w:pStyle w:val="TOC2"/>
            <w:tabs>
              <w:tab w:val="clear" w:pos="8786"/>
              <w:tab w:val="right" w:pos="9360" w:leader="dot"/>
            </w:tabs>
          </w:pPr>
          <w:r>
            <w:t xml:space="default">4.1 DISEÑO DE LA VALIDACIÓN</w:t>
            <w:tab/>
            <w:t xml:space="preserve">48</w:t>
          </w:r>
        </w:p>
        <w:p>
          <w:pPr>
            <w:pStyle w:val="TOC2"/>
            <w:tabs>
              <w:tab w:val="clear" w:pos="8786"/>
              <w:tab w:val="right" w:pos="9360" w:leader="dot"/>
            </w:tabs>
          </w:pPr>
          <w:r>
            <w:t xml:space="default">4.2 PRUEBAS FUNCIONALES</w:t>
            <w:tab/>
            <w:t xml:space="preserve">49</w:t>
          </w:r>
        </w:p>
        <w:p>
          <w:pPr>
            <w:pStyle w:val="TOC2"/>
            <w:tabs>
              <w:tab w:val="clear" w:pos="8786"/>
              <w:tab w:val="right" w:pos="9360" w:leader="dot"/>
            </w:tabs>
          </w:pPr>
          <w:r>
            <w:t xml:space="default">4.3 TIEMPO DE REGISTRO DE PEDIDOS</w:t>
            <w:tab/>
            <w:t xml:space="preserve">52</w:t>
          </w:r>
        </w:p>
        <w:p>
          <w:pPr>
            <w:pStyle w:val="TOC3"/>
            <w:tabs>
              <w:tab w:val="clear" w:pos="8546"/>
              <w:tab w:val="right" w:pos="9360" w:leader="dot"/>
            </w:tabs>
          </w:pPr>
          <w:r>
            <w:t xml:space="default">4.3.1 Estabilidad del tiempo de registro.</w:t>
            <w:tab/>
            <w:t xml:space="preserve">54</w:t>
          </w:r>
        </w:p>
        <w:p>
          <w:pPr>
            <w:pStyle w:val="TOC3"/>
            <w:tabs>
              <w:tab w:val="clear" w:pos="8546"/>
              <w:tab w:val="right" w:pos="9360" w:leader="dot"/>
            </w:tabs>
          </w:pPr>
          <w:r>
            <w:t xml:space="default">4.3.2 Efecto del medio de entrega del soporte.</w:t>
            <w:tab/>
            <w:t xml:space="preserve">54</w:t>
          </w:r>
        </w:p>
        <w:p>
          <w:pPr>
            <w:pStyle w:val="TOC2"/>
            <w:tabs>
              <w:tab w:val="clear" w:pos="8786"/>
              <w:tab w:val="right" w:pos="9360" w:leader="dot"/>
            </w:tabs>
          </w:pPr>
          <w:r>
            <w:t xml:space="default">4.4 TIEMPO DE CIERRE DE CAJA</w:t>
            <w:tab/>
            <w:t xml:space="preserve">55</w:t>
          </w:r>
        </w:p>
        <w:p>
          <w:pPr>
            <w:pStyle w:val="TOC2"/>
            <w:tabs>
              <w:tab w:val="clear" w:pos="8786"/>
              <w:tab w:val="right" w:pos="9360" w:leader="dot"/>
            </w:tabs>
          </w:pPr>
          <w:r>
            <w:t xml:space="default">4.5 TRAZABILIDAD DE LOS PEDIDOS</w:t>
            <w:tab/>
            <w:t xml:space="preserve">55</w:t>
          </w:r>
        </w:p>
        <w:p>
          <w:pPr>
            <w:pStyle w:val="TOC3"/>
            <w:tabs>
              <w:tab w:val="clear" w:pos="8546"/>
              <w:tab w:val="right" w:pos="9360" w:leader="dot"/>
            </w:tabs>
          </w:pPr>
          <w:r>
            <w:t xml:space="default">4.5.1 Confusiones de pedidos.</w:t>
            <w:tab/>
            <w:t xml:space="preserve">55</w:t>
          </w:r>
        </w:p>
        <w:p>
          <w:pPr>
            <w:pStyle w:val="TOC3"/>
            <w:tabs>
              <w:tab w:val="clear" w:pos="8546"/>
              <w:tab w:val="right" w:pos="9360" w:leader="dot"/>
            </w:tabs>
          </w:pPr>
          <w:r>
            <w:t xml:space="default">4.5.2 Localización de pedidos.</w:t>
            <w:tab/>
            <w:t xml:space="preserve">56</w:t>
          </w:r>
        </w:p>
        <w:p>
          <w:pPr>
            <w:pStyle w:val="TOC2"/>
            <w:tabs>
              <w:tab w:val="clear" w:pos="8786"/>
              <w:tab w:val="right" w:pos="9360" w:leader="dot"/>
            </w:tabs>
          </w:pPr>
          <w:r>
            <w:t xml:space="default">4.6 SATISFACCIÓN DEL USUARIO</w:t>
            <w:tab/>
            <w:t xml:space="preserve">56</w:t>
          </w:r>
        </w:p>
        <w:p>
          <w:pPr>
            <w:pStyle w:val="TOC2"/>
            <w:tabs>
              <w:tab w:val="clear" w:pos="8786"/>
              <w:tab w:val="right" w:pos="9360" w:leader="dot"/>
            </w:tabs>
          </w:pPr>
          <w:r>
            <w:t xml:space="default">4.7 ANÁLISIS DE RESULTADOS Y CUMPLIMIENTO DEL OBJETIVO</w:t>
            <w:tab/>
            <w:t xml:space="preserve">57</w:t>
          </w:r>
        </w:p>
        <w:p>
          <w:pPr>
            <w:pStyle w:val="TOC1"/>
            <w:tabs>
              <w:tab w:val="clear" w:pos="9026"/>
              <w:tab w:val="right" w:pos="9360" w:leader="dot"/>
            </w:tabs>
          </w:pPr>
          <w:r>
            <w:t xml:space="default">5. CONCLUSIONES</w:t>
            <w:tab/>
            <w:t xml:space="preserve">60</w:t>
          </w:r>
        </w:p>
        <w:p>
          <w:pPr>
            <w:pStyle w:val="TOC1"/>
            <w:tabs>
              <w:tab w:val="clear" w:pos="9026"/>
              <w:tab w:val="right" w:pos="9360" w:leader="dot"/>
            </w:tabs>
          </w:pPr>
          <w:r>
            <w:t xml:space="default">6. RECOMENDACIONES</w:t>
            <w:tab/>
            <w:t xml:space="preserve">61</w:t>
          </w:r>
        </w:p>
        <w:p>
          <w:pPr>
            <w:pStyle w:val="TOC1"/>
            <w:tabs>
              <w:tab w:val="clear" w:pos="9026"/>
              <w:tab w:val="right" w:pos="9360" w:leader="dot"/>
            </w:tabs>
          </w:pPr>
          <w:r>
            <w:t xml:space="default">BIBLIOGRAFÍA</w:t>
            <w:tab/>
            <w:t xml:space="preserve">63</w:t>
          </w:r>
        </w:p>
        <w:p>
          <w:pPr>
            <w:pStyle w:val="TOC1"/>
            <w:tabs>
              <w:tab w:val="clear" w:pos="9026"/>
              <w:tab w:val="right" w:pos="9360" w:leader="dot"/>
            </w:tabs>
          </w:pPr>
          <w:r>
            <w:t xml:space="default">ANEXOS</w:t>
            <w:tab/>
            <w:t xml:space="preserve">67</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17</w:t>
          </w:r>
        </w:p>
        <w:p>
          <w:pPr>
            <w:pStyle w:val="TOC1"/>
            <w:tabs>
              <w:tab w:val="clear" w:pos="9026"/>
              <w:tab w:val="right" w:pos="9360" w:leader="dot"/>
            </w:tabs>
          </w:pPr>
          <w:r>
            <w:t xml:space="default">Tabla 2. Indicadores clave de desempeño (KPI)</w:t>
            <w:tab/>
            <w:t xml:space="preserve">21</w:t>
          </w:r>
        </w:p>
        <w:p>
          <w:pPr>
            <w:pStyle w:val="TOC1"/>
            <w:tabs>
              <w:tab w:val="clear" w:pos="9026"/>
              <w:tab w:val="right" w:pos="9360" w:leader="dot"/>
            </w:tabs>
          </w:pPr>
          <w:r>
            <w:t xml:space="default">Tabla 3. Matriz de requerimientos funcionales y no funcionales</w:t>
            <w:tab/>
            <w:t xml:space="preserve">26</w:t>
          </w:r>
        </w:p>
        <w:p>
          <w:pPr>
            <w:pStyle w:val="TOC1"/>
            <w:tabs>
              <w:tab w:val="clear" w:pos="9026"/>
              <w:tab w:val="right" w:pos="9360" w:leader="dot"/>
            </w:tabs>
          </w:pPr>
          <w:r>
            <w:t xml:space="default">Tabla 4. Tarifario de servicios — Lavaseco La Manuelita</w:t>
            <w:tab/>
            <w:t xml:space="preserve">30</w:t>
          </w:r>
        </w:p>
        <w:p>
          <w:pPr>
            <w:pStyle w:val="TOC1"/>
            <w:tabs>
              <w:tab w:val="clear" w:pos="9026"/>
              <w:tab w:val="right" w:pos="9360" w:leader="dot"/>
            </w:tabs>
          </w:pPr>
          <w:r>
            <w:t xml:space="default">Tabla 5. Línea base medida — reemplaza la línea base declarada</w:t>
            <w:tab/>
            <w:t xml:space="preserve">31</w:t>
          </w:r>
        </w:p>
        <w:p>
          <w:pPr>
            <w:pStyle w:val="TOC1"/>
            <w:tabs>
              <w:tab w:val="clear" w:pos="9026"/>
              <w:tab w:val="right" w:pos="9360" w:leader="dot"/>
            </w:tabs>
          </w:pPr>
          <w:r>
            <w:t xml:space="default">Tabla 6. Modelo de datos del prototipo</w:t>
            <w:tab/>
            <w:t xml:space="preserve">36</w:t>
          </w:r>
        </w:p>
        <w:p>
          <w:pPr>
            <w:pStyle w:val="TOC1"/>
            <w:tabs>
              <w:tab w:val="clear" w:pos="9026"/>
              <w:tab w:val="right" w:pos="9360" w:leader="dot"/>
            </w:tabs>
          </w:pPr>
          <w:r>
            <w:t xml:space="default">Tabla 7. Estado de los módulos del prototipo</w:t>
            <w:tab/>
            <w:t xml:space="preserve">37</w:t>
          </w:r>
        </w:p>
        <w:p>
          <w:pPr>
            <w:pStyle w:val="TOC1"/>
            <w:tabs>
              <w:tab w:val="clear" w:pos="9026"/>
              <w:tab w:val="right" w:pos="9360" w:leader="dot"/>
            </w:tabs>
          </w:pPr>
          <w:r>
            <w:t xml:space="default">Tabla 8. Controles de seguridad y protección de datos del prototipo</w:t>
            <w:tab/>
            <w:t xml:space="preserve">46</w:t>
          </w:r>
        </w:p>
        <w:p>
          <w:pPr>
            <w:pStyle w:val="TOC1"/>
            <w:tabs>
              <w:tab w:val="clear" w:pos="9026"/>
              <w:tab w:val="right" w:pos="9360" w:leader="dot"/>
            </w:tabs>
          </w:pPr>
          <w:r>
            <w:t xml:space="default">Tabla 9. Instrumentos aplicados en la validación del prototipo</w:t>
            <w:tab/>
            <w:t xml:space="preserve">48</w:t>
          </w:r>
        </w:p>
        <w:p>
          <w:pPr>
            <w:pStyle w:val="TOC1"/>
            <w:tabs>
              <w:tab w:val="clear" w:pos="9026"/>
              <w:tab w:val="right" w:pos="9360" w:leader="dot"/>
            </w:tabs>
          </w:pPr>
          <w:r>
            <w:t xml:space="default">Tabla 10. Resultados de los casos de prueba funcional</w:t>
            <w:tab/>
            <w:t xml:space="preserve">49</w:t>
          </w:r>
        </w:p>
        <w:p>
          <w:pPr>
            <w:pStyle w:val="TOC1"/>
            <w:tabs>
              <w:tab w:val="clear" w:pos="9026"/>
              <w:tab w:val="right" w:pos="9360" w:leader="dot"/>
            </w:tabs>
          </w:pPr>
          <w:r>
            <w:t xml:space="default">Tabla 11. Tiempo de registro de un pedido: línea base vs. prototipo</w:t>
            <w:tab/>
            <w:t xml:space="preserve">52</w:t>
          </w:r>
        </w:p>
        <w:p>
          <w:pPr>
            <w:pStyle w:val="TOC1"/>
            <w:tabs>
              <w:tab w:val="clear" w:pos="9026"/>
              <w:tab w:val="right" w:pos="9360" w:leader="dot"/>
            </w:tabs>
          </w:pPr>
          <w:r>
            <w:t xml:space="default">Tabla 12. Medio de entrega del soporte al cliente y su efecto en el tiempo de registro</w:t>
            <w:tab/>
            <w:t xml:space="preserve">54</w:t>
          </w:r>
        </w:p>
        <w:p>
          <w:pPr>
            <w:pStyle w:val="TOC1"/>
            <w:tabs>
              <w:tab w:val="clear" w:pos="9026"/>
              <w:tab w:val="right" w:pos="9360" w:leader="dot"/>
            </w:tabs>
          </w:pPr>
          <w:r>
            <w:t xml:space="default">Tabla 13. Cierres de caja cronometrados con el prototipo</w:t>
            <w:tab/>
            <w:t xml:space="preserve">55</w:t>
          </w:r>
        </w:p>
        <w:p>
          <w:pPr>
            <w:pStyle w:val="TOC1"/>
            <w:tabs>
              <w:tab w:val="clear" w:pos="9026"/>
              <w:tab w:val="right" w:pos="9360" w:leader="dot"/>
            </w:tabs>
          </w:pPr>
          <w:r>
            <w:t xml:space="default">Tabla 14. Causas de las confusiones de pedidos: línea base vs. prototipo</w:t>
            <w:tab/>
            <w:t xml:space="preserve">55</w:t>
          </w:r>
        </w:p>
        <w:p>
          <w:pPr>
            <w:pStyle w:val="TOC1"/>
            <w:tabs>
              <w:tab w:val="clear" w:pos="9026"/>
              <w:tab w:val="right" w:pos="9360" w:leader="dot"/>
            </w:tabs>
          </w:pPr>
          <w:r>
            <w:t xml:space="default">Tabla 15. Resultados del cuestionario SUS por participante</w:t>
            <w:tab/>
            <w:t xml:space="preserve">56</w:t>
          </w:r>
        </w:p>
        <w:p>
          <w:pPr>
            <w:pStyle w:val="TOC1"/>
            <w:tabs>
              <w:tab w:val="clear" w:pos="9026"/>
              <w:tab w:val="right" w:pos="9360" w:leader="dot"/>
            </w:tabs>
          </w:pPr>
          <w:r>
            <w:t xml:space="default">Tabla 16. Cumplimiento de los indicadores del tercer objetivo</w:t>
            <w:tab/>
            <w:t xml:space="preserve">57</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24</w:t>
          </w:r>
        </w:p>
        <w:p>
          <w:pPr>
            <w:pStyle w:val="TOC1"/>
            <w:tabs>
              <w:tab w:val="clear" w:pos="9026"/>
              <w:tab w:val="right" w:pos="9360" w:leader="dot"/>
            </w:tabs>
          </w:pPr>
          <w:r>
            <w:t xml:space="default">Figura 2. Diagrama de casos de uso — Lavaseco La Manuelita</w:t>
            <w:tab/>
            <w:t xml:space="preserve">26</w:t>
          </w:r>
        </w:p>
        <w:p>
          <w:pPr>
            <w:pStyle w:val="TOC1"/>
            <w:tabs>
              <w:tab w:val="clear" w:pos="9026"/>
              <w:tab w:val="right" w:pos="9360" w:leader="dot"/>
            </w:tabs>
          </w:pPr>
          <w:r>
            <w:t xml:space="default">Figura 3. Causas de confusión de pedidos — Lavaseco La Manuelita</w:t>
            <w:tab/>
            <w:t xml:space="preserve">32</w:t>
          </w:r>
        </w:p>
        <w:p>
          <w:pPr>
            <w:pStyle w:val="TOC1"/>
            <w:tabs>
              <w:tab w:val="clear" w:pos="9026"/>
              <w:tab w:val="right" w:pos="9360" w:leader="dot"/>
            </w:tabs>
          </w:pPr>
          <w:r>
            <w:t xml:space="default">Figura 4. Línea base declarada vs. medida — Lavaseco La Manuelita</w:t>
            <w:tab/>
            <w:t xml:space="preserve">33</w:t>
          </w:r>
        </w:p>
        <w:p>
          <w:pPr>
            <w:pStyle w:val="TOC1"/>
            <w:tabs>
              <w:tab w:val="clear" w:pos="9026"/>
              <w:tab w:val="right" w:pos="9360" w:leader="dot"/>
            </w:tabs>
          </w:pPr>
          <w:r>
            <w:t xml:space="default">Figura 5. Arquitectura de despliegue local-first — Lavaseco La Manuelita</w:t>
            <w:tab/>
            <w:t xml:space="preserve">36</w:t>
          </w:r>
        </w:p>
        <w:p>
          <w:pPr>
            <w:pStyle w:val="TOC1"/>
            <w:tabs>
              <w:tab w:val="clear" w:pos="9026"/>
              <w:tab w:val="right" w:pos="9360" w:leader="dot"/>
            </w:tabs>
          </w:pPr>
          <w:r>
            <w:t xml:space="default">Figura 6. Diagrama entidad-relación del prototipo — Lavaseco La Manuelita</w:t>
            <w:tab/>
            <w:t xml:space="preserve">37</w:t>
          </w:r>
        </w:p>
        <w:p>
          <w:pPr>
            <w:pStyle w:val="TOC1"/>
            <w:tabs>
              <w:tab w:val="clear" w:pos="9026"/>
              <w:tab w:val="right" w:pos="9360" w:leader="dot"/>
            </w:tabs>
          </w:pPr>
          <w:r>
            <w:t xml:space="preserve">Figura 7. Proceso operativo con el prototipo (BPMN 2.0) — Lavaseco La Manuelita</w:t>
            <w:tab/>
            <w:t xml:space="preserve">39</w:t>
          </w:r>
        </w:p>
        <w:p>
          <w:pPr>
            <w:pStyle w:val="TOC1"/>
            <w:tabs>
              <w:tab w:val="clear" w:pos="9026"/>
              <w:tab w:val="right" w:pos="9360" w:leader="dot"/>
            </w:tabs>
          </w:pPr>
          <w:r>
            <w:t xml:space="default">Figura 8. Diagrama de estados del pedido — Lavaseco La Manuelita</w:t>
            <w:tab/>
            <w:t xml:space="preserve">40</w:t>
          </w:r>
        </w:p>
        <w:p>
          <w:pPr>
            <w:pStyle w:val="TOC1"/>
            <w:tabs>
              <w:tab w:val="clear" w:pos="9026"/>
              <w:tab w:val="right" w:pos="9360" w:leader="dot"/>
            </w:tabs>
          </w:pPr>
          <w:r>
            <w:t xml:space="default">Figura 9. Acceso al sistema — portal de empleado y panel de gerente (RNF04)</w:t>
            <w:tab/>
            <w:t xml:space="preserve">40</w:t>
          </w:r>
        </w:p>
        <w:p>
          <w:pPr>
            <w:pStyle w:val="TOC1"/>
            <w:tabs>
              <w:tab w:val="clear" w:pos="9026"/>
              <w:tab w:val="right" w:pos="9360" w:leader="dot"/>
            </w:tabs>
          </w:pPr>
          <w:r>
            <w:t xml:space="default">Figura 10. Pedido rápido — paso 1: datos del cliente (RF01)</w:t>
            <w:tab/>
            <w:t xml:space="preserve">41</w:t>
          </w:r>
        </w:p>
        <w:p>
          <w:pPr>
            <w:pStyle w:val="TOC1"/>
            <w:tabs>
              <w:tab w:val="clear" w:pos="9026"/>
              <w:tab w:val="right" w:pos="9360" w:leader="dot"/>
            </w:tabs>
          </w:pPr>
          <w:r>
            <w:t xml:space="default">Figura 11. Panel financiero — indicadores del día y calendario de movimientos (RF09 y reportería adicional)</w:t>
            <w:tab/>
            <w:t xml:space="preserve">41</w:t>
          </w:r>
        </w:p>
        <w:p>
          <w:pPr>
            <w:pStyle w:val="TOC1"/>
            <w:tabs>
              <w:tab w:val="clear" w:pos="9026"/>
              <w:tab w:val="right" w:pos="9360" w:leader="dot"/>
            </w:tabs>
          </w:pPr>
          <w:r>
            <w:t xml:space="default">Figura 12. Cierre de caja en el panel financiero, con ganancia neta y efectivo en caja separados (RF09)</w:t>
            <w:tab/>
            <w:t xml:space="preserve">42</w:t>
          </w:r>
        </w:p>
        <w:p>
          <w:pPr>
            <w:pStyle w:val="TOC1"/>
            <w:tabs>
              <w:tab w:val="clear" w:pos="9026"/>
              <w:tab w:val="right" w:pos="9360" w:leader="dot"/>
            </w:tabs>
          </w:pPr>
          <w:r>
            <w:t xml:space="default">Figura 13. Pedidos con más de tres meses en piso (RF11)</w:t>
            <w:tab/>
            <w:t xml:space="preserve">43</w:t>
          </w:r>
        </w:p>
        <w:p>
          <w:pPr>
            <w:pStyle w:val="TOC1"/>
            <w:tabs>
              <w:tab w:val="clear" w:pos="9026"/>
              <w:tab w:val="right" w:pos="9360" w:leader="dot"/>
            </w:tabs>
          </w:pPr>
          <w:r>
            <w:t xml:space="default">Figura 14. Inventario en piso, con filtros y acceso a escaneo de código de barras (RF06, RF03)</w:t>
            <w:tab/>
            <w:t xml:space="preserve">43</w:t>
          </w:r>
        </w:p>
        <w:p>
          <w:pPr>
            <w:pStyle w:val="TOC1"/>
            <w:tabs>
              <w:tab w:val="clear" w:pos="9026"/>
              <w:tab w:val="right" w:pos="9360" w:leader="dot"/>
            </w:tabs>
          </w:pPr>
          <w:r>
            <w:t xml:space="default">Figura 15. Detalle de pedido — prendas, abono y cambio de estado (RF03, RF04)</w:t>
            <w:tab/>
            <w:t xml:space="preserve">44</w:t>
          </w:r>
        </w:p>
        <w:p>
          <w:pPr>
            <w:pStyle w:val="TOC1"/>
            <w:tabs>
              <w:tab w:val="clear" w:pos="9026"/>
              <w:tab w:val="right" w:pos="9360" w:leader="dot"/>
            </w:tabs>
          </w:pPr>
          <w:r>
            <w:t xml:space="default">Figura 16. Recibo con código de barras generado por el sistema (vista imprimible) — soporte de trazabilidad de la marquilla</w:t>
            <w:tab/>
            <w:t xml:space="preserve">44</w:t>
          </w:r>
        </w:p>
        <w:p>
          <w:pPr>
            <w:pStyle w:val="TOC1"/>
            <w:tabs>
              <w:tab w:val="clear" w:pos="9026"/>
              <w:tab w:val="right" w:pos="9360" w:leader="dot"/>
            </w:tabs>
          </w:pPr>
          <w:r>
            <w:t xml:space="preserve">Figura 17. Panel remoto de la gerente: (a) con conexión y (b) sin conexión</w:t>
            <w:tab/>
            <w:t xml:space="preserve">45</w:t>
          </w:r>
        </w:p>
        <w:p>
          <w:pPr>
            <w:pStyle w:val="TOC1"/>
            <w:tabs>
              <w:tab w:val="clear" w:pos="9026"/>
              <w:tab w:val="right" w:pos="9360" w:leader="dot"/>
            </w:tabs>
          </w:pPr>
          <w:r>
            <w:t xml:space="default">Figura 18. Tiempo de registro y de cierre de caja: línea base vs. prototipo, frente a la meta de reducción del 40 %</w:t>
            <w:tab/>
            <w:t xml:space="preserve">54</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68</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69</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70</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71</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72</w:t>
          </w:r>
        </w:p>
        <w:p>
          <w:pPr>
            <w:pStyle w:val="TOC1"/>
            <w:tabs>
              <w:tab w:val="clear" w:pos="9026"/>
              <w:tab w:val="right" w:pos="9360" w:leader="dot"/>
            </w:tabs>
          </w:pPr>
          <w:r>
            <w:t xml:space="default">Anexo F. Registro técnico de verificaciones y correcciones durante la construcción del prototipo</w:t>
            <w:tab/>
            <w:t xml:space="preserve">74</w:t>
          </w:r>
        </w:p>
        <w:p>
          <w:pPr>
            <w:pStyle w:val="TOC1"/>
            <w:tabs>
              <w:tab w:val="clear" w:pos="9026"/>
              <w:tab w:val="right" w:pos="9360" w:leader="dot"/>
            </w:tabs>
          </w:pPr>
          <w:r>
            <w:t xml:space="default">Anexo G. Cuestionario SUS y preguntas abiertas aplicados a los usuarios del prototipo</w:t>
            <w:tab/>
            <w:t xml:space="preserve">75</w:t>
          </w:r>
        </w:p>
        <w:p>
          <w:pPr>
            <w:pStyle w:val="TOC1"/>
            <w:tabs>
              <w:tab w:val="clear" w:pos="9026"/>
              <w:tab w:val="right" w:pos="9360" w:leader="dot"/>
            </w:tabs>
          </w:pPr>
          <w:r>
            <w:t xml:space="default">Anexo H. Bitácora de confusiones de pedidos registradas durante la validación (8 al 30 de septiembre de 2026)</w:t>
            <w:tab/>
            <w:t xml:space="preserve">76</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[7], [15].</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[16].</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[32].</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[26].</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[26].</w:t>
      </w:r>
      <w:r>
        <w:t xml:space="preserve"/>
      </w:r>
    </w:p>
    <w:p>
      <w:pPr>
        <w:pStyle w:val="Cuerpo"/>
      </w:pPr>
      <w:r>
        <w:rPr>
          <w:b/>
          <w:bCs/>
        </w:rPr>
        <w:t xml:space="preserve">SYSTEM USABILITY SCALE (SUS): cuestionario estandarizado de diez afirmaciones, con escala de 1 a 5, que da un puntaje de usabilidad percibida entre 0 y 100 [30], [31].</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[29].</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[10], aplicaciones web de gestión [11], [12] y seguimiento en línea del pedido [13]. La excepción es Rahmadani et al., con una aplicación de escritorio sin conexión que bajó 35 % el tiempo de procesamiento [14], sin respaldo ni consulta remota. Guardar los datos en el equipo y usar la nube como complemento es la idea local-first [7], [15]. No se encontró un trabajo que junte registro local sin internet con respaldo y consulta remota para una microempresa de este tipo. El estado del arte se desarrolla en el numeral 1.5.4 y en la Tabla 1.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[15], [16].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de frecuencia de confusiones y de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El concepto de sistema de información se consolidó como el conjunto de personas, procesos, datos y tecnología que recogen, procesan, guardan y distribuyen información para una operación [6], [21]. De esa definición general salió, en las bases de datos, la distinción entre sistemas de procesamiento de transacciones (OLTP), hechos para operaciones cortas y frecuentes, y sistemas analíticos. Lo que se construyó aquí es un OLTP: registrar un pedido o un pago es una transacción corta [20], [22], [23].</w:t>
      </w:r>
    </w:p>
    <w:p>
      <w:pPr>
        <w:pStyle w:val="Cuerpo"/>
      </w:pPr>
      <w:r>
        <w:t xml:space="preserve">En la última década el debate pasó de informatizar tareas sueltas a describir cómo cambian las organizaciones con lo digital. Vial [35] define la transformación digital como un cambio organizacional apoyado en tecnologías digitales. Verhoef et al. [36] ordenan ese cambio en tres capas: digitización (pasar de análogo a digital), digitalización (usar lo digital en los procesos) y transformación. Este prototipo se sitúa en la digitalización de un proceso ya existente, no en un cambio del modelo de negocio. En pymes, Eller et al. [3], Garzoni et al. [41] y Sagala y Öri [38] documentan que la adopción depende de recursos, conectividad y de quién mantiene el sistema. Lutfi [6] y Diavastis et al. [43] evalúan el éxito de un sistema de información por la calidad, el uso y la satisfacción.</w:t>
      </w:r>
    </w:p>
    <w:p>
      <w:pPr>
        <w:pStyle w:val="Cuerpo"/>
      </w:pPr>
      <w:r>
        <w:t xml:space="preserve">La otra línea que aquí importa es dónde viven los datos cuando internet no es fiable. Durante años el diseño por defecto fue cloud-first: la operación crítica espera a la red. En contextos con conectividad limitada se documentó el diseño offline, por ejemplo en salud [24]. En 2019 Kleppmann et al. [7] formularon local-first: los datos viven en el equipo del usuario y la nube queda para respaldo y colaboración. Klokmose et al. [15], Haas et al. [16] y Litt et al. [26] llevaron esa idea a modelos de programación y a estado relacional local. En este trabajo, offline-first nombra el requisito de que el registro funcione sin internet [15], [16], y local-first nombra la arquitectura autoalojada en el PC del local [7].</w:t>
      </w:r>
    </w:p>
    <w:p>
      <w:pPr>
        <w:pStyle w:val="Cuerpo"/>
      </w:pPr>
      <w:r>
        <w:t xml:space="preserve">Trazabilidad, en este documento, es poder reconstruir el estado y el historial de cada pedido —prendas, pagos, abonos y cambios de estado— desde un único registro. Ese sentido guió la caracterización (OE1). La usabilidad se entiende como el grado en que los usuarios logran sus objetivos con eficacia, eficiencia y satisfacción [29]. Brooke [30] propuso la SUS como escala breve; Bangor et al. [31] y Sauro y Lewis [29] fijaron cómo leer el puntaje. Los requerimientos se verifican con pruebas de caja negra [32].</w:t>
      </w:r>
    </w:p>
    <w:p>
      <w:pPr>
        <w:pStyle w:val="Cuerpo"/>
      </w:pPr>
      <w:r>
        <w:t xml:space="preserve">Sincronización, aquí, no es un CRDT ni una réplica continua: es el respaldo periódico de SQLite y la consulta de solo lectura del panel remoto. El panel guarda en caché los últimos datos [15], [26]. La parte en la nube usa servicios administrados (NoOps, serverless, cloud-native) para no administrar servidores en el negocio [17], [18], [27], [28].</w:t>
      </w:r>
    </w:p>
    <w:p>
      <w:pPr>
        <w:pStyle w:val="Heading3"/>
        <w:jc w:val="left"/>
      </w:pPr>
      <w:r>
        <w:t xml:space="preserve">1.5.2 Marco Teórico.</w:t>
      </w:r>
    </w:p>
    <w:p>
      <w:pPr>
        <w:pStyle w:val="Cuerpo"/>
      </w:pPr>
      <w:r>
        <w:t xml:space="preserve">El trabajo se sostiene en Design Science Research. Hevner et al. [8] piden un artefacto, un ciclo de construcción y evaluación, y criterios de rigor. Peffers et al. [9] ordenan ese ciclo en identificar el problema, definir objetivos, diseñar, demostrar y evaluar. Delport, Von Solms y Gerber [49] recogen orientaciones metodológicas para aplicar DSR. Las tres fases de este proyecto (caracterizar, construir, validar) siguen ese orden. La ingeniería de requisitos se hizo según la ISO/IEC/IEEE 29148 [50].</w:t>
      </w:r>
    </w:p>
    <w:p>
      <w:pPr>
        <w:pStyle w:val="Cuerpo"/>
      </w:pPr>
      <w:r>
        <w:rPr>
          <w:b/>
          <w:bCs/>
        </w:rPr>
        <w:t xml:space="preserve">Para evaluar el prototipo se tomó de DeLone y McLean la calidad del sistema, el uso y la satisfacción [6], [34]. La usabilidad se midió con la SUS de Brooke [30], leída con Bangor et al. [31] y Sauro y Lewis [29]. Los casos de prueba se armaron con la ISO/IEC/IEEE 29119 [32]. El diseño de la medición es preexperimental, de un solo grupo con O1–X–O2 (numeral 1.6): describe un cambio observado junto con el uso del prototipo, no una relación causal.</w:t>
      </w:r>
    </w:p>
    <w:p>
      <w:pPr>
        <w:pStyle w:val="Cuerpo"/>
      </w:pPr>
      <w:r>
        <w:rPr>
          <w:b/>
          <w:bCs/>
        </w:rPr>
        <w:t xml:space="preserve">Se eligió local-first porque la conexión del local se cae y el registro de pedidos no podía quedar parado esperándola. Kleppmann et al. [7] describen esa idea; Klokmose et al. [15] y Haas et al. [16] la llevan a aplicaciones concretas. No se montó CRDT [7] ni el estado relacional reactivo de Litt et al. [26] porque en La Manuelita hay un solo PC y nadie edita el mismo pedido desde dos equipos. La regla de última escritura gana quedó solo por si algún día hay una segunda sede (numeral 3.6).</w:t>
      </w:r>
    </w:p>
    <w:p>
      <w:pPr>
        <w:pStyle w:val="Cuerpo"/>
      </w:pPr>
      <w:r>
        <w:rPr>
          <w:b/>
          <w:bCs/>
        </w:rPr>
        <w:t xml:space="preserve">Lo que sí va a la nube corre en Firebase, un servicio administrado, porque en el negocio nadie va a mantener un servidor [17], [18], [20], [23], [33]. El estado del arte comparado con este caso está en el numeral 1.5.4 y en la Tabla 1.</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[44].</w:t>
      </w:r>
    </w:p>
    <w:p>
      <w:pPr>
        <w:pStyle w:val="Cuerpo"/>
      </w:pPr>
      <w:r>
        <w:t xml:space="preserve">En Colombia, el artículo 15 de la Constitución Política reconoce el derecho de toda persona a conocer, actualizar y rectificar la información que se haya recogido sobre ella [45].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[46].</w:t>
      </w:r>
    </w:p>
    <w:p>
      <w:pPr>
        <w:pStyle w:val="Cuerpo"/>
      </w:pPr>
      <w:r>
        <w:t xml:space="preserve">El Decreto 1377 de 2013 reglamenta la autorización y las políticas de tratamiento de datos [47]. De estas normas salen el requisito RNF04 y las medidas del numeral 3.5. La Ley 527 de 1999 da validez a los mensajes de datos. Su artículo 10 les reconoce fuerza probatoria y su artículo 12 dice cómo deben conservarse [48].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3"/>
        <w:jc w:val="left"/>
      </w:pPr>
      <w:r>
        <w:t xml:space="preserve">1.5.4 Estado del arte.</w:t>
      </w:r>
    </w:p>
    <w:p>
      <w:pPr>
        <w:pStyle w:val="Cuerpo"/>
      </w:pPr>
      <w:r>
        <w:rPr>
          <w:b/>
          <w:bCs/>
        </w:rPr>
        <w:t xml:space="preserve">Los trabajos sobre digitalización de micronegocios y pymes describen recursos, barreras y resultados de adoptar sistemas de información [2], [3], [35], [36], [37], [38], [39], [40], [41]. En Colombia, Picón et al. [2] documentan la recuperación digital de micronegocios después de la pandemia. Ninguno de esos textos construye un prototipo de mostrador para una lavandería.</w:t>
      </w:r>
    </w:p>
    <w:p>
      <w:pPr>
        <w:pStyle w:val="Cuerpo"/>
      </w:pPr>
      <w:r>
        <w:rPr>
          <w:b/>
          <w:bCs/>
        </w:rPr>
        <w:t xml:space="preserve">En lavanderías, Portase et al. [10] asignan máquinas en tiempo real; Mutia et al. [11] y Achyani et al. [12] proponen aplicaciones web de gestión; Muhammad y Alfarid [13] siguen el estado del pedido en línea. Los cuatro suponen internet. La excepción es Rahmadani et al. [14]: una aplicación de escritorio sin conexión que reporta 35 % menos tiempo de procesamiento, sin respaldo en la nube ni consulta remota.</w:t>
      </w:r>
    </w:p>
    <w:p>
      <w:pPr>
        <w:pStyle w:val="Cuerpo"/>
      </w:pPr>
      <w:r>
        <w:rPr>
          <w:b/>
          <w:bCs/>
        </w:rPr>
        <w:t xml:space="preserve">En software, Kleppmann et al. [7], Klokmose et al. [15], Haas et al. [16] y Litt et al. [26] desarrollan local-first. Feldacker et al. [24] muestran una aplicación móvil para conectividad limitada en salud. Wen et al. [17], Cassel et al. [27], Stefanac y Colomo-Palacios [18], Dong et al. [20] y Deng et al. [28] cubren serverless, NoOps y bases cloud-native, útiles para el respaldo, no para el registro en el mostrador.</w:t>
      </w:r>
    </w:p>
    <w:p>
      <w:pPr>
        <w:pStyle w:val="Cuerpo"/>
      </w:pPr>
      <w:r>
        <w:rPr>
          <w:b/>
          <w:bCs/>
        </w:rPr>
        <w:t xml:space="preserve">La Tabla 1 ordena 27 trabajos por categoría, qué se tomó de cada uno y dónde se quedan cortos frente a La Manuelita. No se encontró un trabajo que junte registro local sin internet, respaldo y consulta remota de solo lectura para una microempresa de este tipo. Ese es el vacío que delimita el prototipo.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[39]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[41]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[43]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Rahmadani et al. [14]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TIN: Terapan Informatika Nusantara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Aplicación de escritorio sin conexión; reporta 35 % menos tiempo de procesamiento</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Sin respaldo en la nube ni consulta remota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[49].</w:t>
      </w:r>
    </w:p>
    <w:p>
      <w:pPr>
        <w:pStyle w:val="Cuerpo"/>
      </w:pPr>
      <w:r>
        <w:t xml:space="preserve">El software se desarrolló de forma iterativa e incremental, con ingeniería de requisitos según la norma ISO/IEC/IEEE 29148 [50].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 Cada indicador de la Tabla 2 se compara con su propia meta. El tercer objetivo se da por cumplido en tiempos y satisfacción si se cumplen las tres metas de decisión: al menos 40 % menos de tiempo de registro, al menos 40 % menos de tiempo de cierre y un puntaje SUS promedio de al menos 85. Las dos de tiempo se verifican con una prueba estadística (numeral 4.1). La de satisfacción se mide a tres personas y solo después del cambio, así que se evalúa de forma descriptiva. La frecuencia semanal de confusiones se mide y se reporta porque el objetivo general la incluye; no es una meta de sí o no del tercer objetivo, porque el número de semanas no da para decidirlo. El numeral 4.5.1 concluye que esa frecuencia no disminuyó de forma demostrable.</w:t>
      </w:r>
      <w:r>
        <w:t xml:space="preserve"/>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r>
        <w:trPr>
          <w:cantSplit/>
        </w:trPr>
        <w:tc>
          <w:tcPr>
            <w:vMerge w:val="continue"/>
            <w:tcBorders>
              <w:top w:val="single" w:color="7F7F7F" w:sz="4"/>
              <w:left w:val="single" w:color="7F7F7F" w:sz="4"/>
              <w:bottom w:val="single" w:color="7F7F7F" w:sz="4"/>
              <w:right w:val="single" w:color="7F7F7F" w:sz="4"/>
            </w:tcBorders>
          </w:tcPr>
          <w:p>
            <w:r>
              <w:t xml:space="preserve"/>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Frecuencia semanal de confusiones de pedidos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Se mide y se reporta frente a 1.2 por semana (línea base). El objetivo general la incluye (numeral 4.5.1). No es meta de sí o no del OE3</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 El panel remoto no recibió los tres cierres reales de la validación (numeral 3.4). El cambio manual de estado permite marcar un pedido como Entregado con saldo pendiente (casos CF04 y CF05). El plan formal de 13 casos funcionales se ejecutó el 13 y el 14 de octubre, después del periodo de campo. El cierre y el SUS se midieron con n = 3. Los autores construyeron el prototipo y también lo cronometraron.</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 La Figura 1 usa notación BPMN 2.0: pools distintos para Cliente y Lavaseco (carriles E1 y E2); el pool Lavaseco inicia con un evento de mensaje en E1; los diez pasos están numerados; la compuerta «¿Cuadra?» tiene salida sí (archivo) y no (reconteo, que vuelve al cierre por una unión exclusiva); el evento de fin es un círculo de borde grueso; el flujo de mensaje va punteado, con círculo vacío en el origen y punta vacía en el destino. En el pool Cliente, las dos tareas se unen con un evento intermedio de temporizador («Espera la fecha de entrega»).</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w:t>
      </w:r>
      <w:fldSimple w:instr="SEQ Figura \* ARABIC">
        <w:r>
          <w:t xml:space="preserve">1</w:t>
        </w:r>
      </w:fldSimple>
      <w:r>
        <w:t xml:space="preserve">. Proceso operativo actual (BPMN 2.0) — Lavaseco La Manuelita. Elaboración propia.</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E1 hizo todos los registros de la línea base y E2 los cierres (numeral 1.6). En 5 de 53 pares consecutivos del mismo día los intervalos se solapan (22 de 483 minutos, 4.5 %): a veces un registro quedaba abierto mientras se atendía a otro cliente. El 7.32 min es tiempo transcurrido, con esperas e interrupciones. Aun así, el solapamiento es pequeño. Un día de 80 pedidos con el proceso en papel habría exigido cerca de 9.3 horas de registro, más que la jornada. Por eso las 137 horas mensuales se presentan como techo, y la cifra que se defiende es la de 5.9 horas por cada 100 pedidos (numeral 4.7).</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con salvedad: los cierres reales del 12, 19 y 26 de septiembre no llegaron a Firestore (numeral 3.4)</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(los tres cierres reales de septiembre no llegaron a Firestore; numeral 3.4);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 Usa tres pools (Cliente, Lavaseco con carriles E1 y E2, y Gerente remota), unidos por flujos de mensaje. El pool Lavaseco inicia con un evento de mensaje en E1. El flujo del pedido es secuencial: pedido rápido, recibo con código de barras y, si aplica, abono inicial; E2 actualiza el estado hasta «Listo» y envía el aviso por WhatsApp; el cliente lo recibe y, al regresar, E1 hace la entrega o la entrega parcial. El cierre de caja es un flujo aparte: un evento de inicio de temporizador («Fin de la jornada») dispara el cierre digital (RF09) y el panel de la gerente consulta el resultado. El panel no escribe.</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w:t>
      </w:r>
      <w:fldSimple w:instr="SEQ Figura \* ARABIC">
        <w:r>
          <w:t xml:space="preserve">7</w:t>
        </w:r>
      </w:fldSimple>
      <w:r>
        <w:t xml:space="preserve">. Proceso operativo con el prototipo (BPMN 2.0) — Lavaseco La Manuelita. Elaboración propia.</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w:t>
      </w:r>
      <w:fldSimple w:instr="SEQ Figura \* ARABIC">
        <w:r>
          <w:t xml:space="preserve">16</w:t>
        </w:r>
      </w:fldSimple>
      <w:r>
        <w:t xml:space="preserve">.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w:t>
      </w:r>
      <w:fldSimple w:instr="SEQ Figura \* ARABIC">
        <w:r>
          <w:t xml:space="preserve">17</w:t>
        </w:r>
      </w:fldSimple>
      <w:r>
        <w:t xml:space="preserve">.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 No se determinó la causa de esos tres fallos: el error de consola de esos sábados no se conservó. El mecanismo (escritura en un bloque aparte) explica por qué SQLite conservó el cierre, no por qué falló la escritura a Firestore.</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de prueba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El hallazgo de RF12 queda como salvedad: los tres cierres reales de la validación no llegaron a Firestore y el panel no los muestra (numeral 3.4 y Figura 17). En CF05, el cambio manual de estado permite marcar un pedido como Entregado con saldo pendiente; el botón habitual de entrega sí lo bloquea (numeral 4.2).</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Ese 4 de 4 se obtuvo con un cierre ficticio que se borró al terminar; no con los cierres reales de los sábados 12, 19 y 26 de septiembre, que no llegaron a Firestore (numeral 3.4 y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No se determinó la causa de esos tres fallos.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 no son los sábados de la Tabla 13</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no los sábados de la Tabla 13.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18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18</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[30], un cuestionario de 10 afirmaciones con escala de 1 a 5 que da un puntaje de 0 a 100. Un puntaje de 68 es el promedio, y uno de 80.3 o más se considera excelente [29], [31].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Frecuencia semanal de confusiones de pedidos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Disminución demostrable (objetivo general)</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1.2 / semana</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2.1 / semana; prueba de razón de tasas p = 0.28 (numeral 4.5.1)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No</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El solapamiento de la línea base (5 de 53 pares consecutivos, 22 de 483 minutos, 4.5 %; numeral 2.6) solo reduce esa carga a cerca de 9.3 horas en un día de 80 pedidos, todavía más que una jornada. Por eso las 137 horas se presentan como techo, y la cifra que se defiende es la de 5.9 horas por cada 100 pedidos.</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se alimentó de Firestore cuando la escritura del cierre llegó a la nube; los tres cierres reales de la validación no llegaron (numeral 3.4).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pPr>
      <w:r>
        <w:t xml:space="preserve">Reintentar la escritura a Firestore si falla y avisar en pantalla cuando el cierre local no se haya replicado. En la validación, los tres cierres de sábado no llegaron a la nube y el error solo se registró en consola; no se determinó la causa.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ISO 690 numérica, por orden de primera aparición en el texto a partir de la introducción. Las citas múltiples se escriben [n], [m].</w:t>
      </w:r>
    </w:p>
    <w:p>
      <w:pPr>
        <w:pStyle w:val="Referencia"/>
      </w:pPr>
      <w:r>
        <w:t xml:space="preserve">[1] DEPARTAMENTO ADMINISTRATIVO NACIONAL DE ESTADÍSTICA (DANE). Encuesta de Micronegocios (EMICRON): boletín técnico 2024 [en línea]. Bogotá: DANE, 2025 [consulta: 12 octubre 2026]. Disponible en: https://www.dane.gov.co/files/operaciones/EMICRON/bol-EMICRON2024.pdf</w:t>
      </w:r>
    </w:p>
    <w:p>
      <w:pPr>
        <w:pStyle w:val="Referencia"/>
      </w:pPr>
      <w:r>
        <w:t xml:space="preserve">[2] PICÓN, C., DÍAZ ALONZO, R.C., DÁVILA, A. y PUELLO CABARCAS, D. Digitalization and post-pandemic recovery of micro-businesses in Colombia. Procedia Computer Science [en línea]. 2024, vol. 231, p. 566-570 [consulta: 12 octubre 2026]. DOI 10.1016/j.procs.2023.12.249. Disponible en: https://doi.org/10.1016/j.procs.2023.12.249</w:t>
      </w:r>
    </w:p>
    <w:p>
      <w:pPr>
        <w:pStyle w:val="Referencia"/>
      </w:pPr>
      <w:r>
        <w:t xml:space="preserve">[3] ELLER, R., ALFORD, P., KALLMÜNZER, A. y PETERS, M. Antecedents, consequences, and challenges of small and medium-sized enterprise digitalization. Journal of Business Research [en línea]. 2020, vol. 112, p. 119-127 [consulta: 12 octubre 2026]. DOI 10.1016/j.jbusres.2020.03.004. Disponible en: https://doi.org/10.1016/j.jbusres.2020.03.004</w:t>
      </w:r>
    </w:p>
    <w:p>
      <w:pPr>
        <w:pStyle w:val="Referencia"/>
      </w:pPr>
      <w:r>
        <w:t xml:space="preserve">[4] HIRS, J. y VARGAS, F. Prioridades para la digitalización empresarial en América Latina y el Caribe [en línea]. Washington: Banco Interamericano de Desarrollo, 2023 [consulta: 12 octubre 2026]. DOI 10.18235/0005166. Disponible en: https://doi.org/10.18235/0005166</w:t>
      </w:r>
    </w:p>
    <w:p>
      <w:pPr>
        <w:pStyle w:val="Referencia"/>
      </w:pPr>
      <w:r>
        <w:t xml:space="preserve">[5] FU, Q., NICHOLSON, G.L. y EASTON, J.M. Understanding data quality in a data-driven industry context. Journal of Industrial Information Integration [en línea]. 2024, vol. 42, art. n.º 100729 [consulta: 12 octubre 2026]. DOI 10.1016/j.jii.2024.100729. Disponible en: https://doi.org/10.1016/j.jii.2024.100729</w:t>
      </w:r>
    </w:p>
    <w:p>
      <w:pPr>
        <w:pStyle w:val="Referencia"/>
      </w:pPr>
      <w:r>
        <w:t xml:space="preserve">[6] LUTFI, A. Factors affecting the success of accounting information system from the lens of DeLone and McLean IS model. International Journal of Information Management Data Insights [en línea]. 2023, vol. 3, no. 2, art. n.º 100202 [consulta: 12 octubre 2026]. DOI 10.1016/j.jjimei.2023.100202. Disponible en: https://doi.org/10.1016/j.jjimei.2023.100202</w:t>
      </w:r>
    </w:p>
    <w:p>
      <w:pPr>
        <w:pStyle w:val="Referencia"/>
      </w:pPr>
      <w:r>
        <w:t xml:space="preserve">[7] KLEPPMANN, M., WIGGINS, A., VAN HARDENBERG, P. y MCGRANAGHAN, M. Local-first software: you own your data, in spite of the cloud. En: Proceedings of the 2019 ACM SIGPLAN Onward! [en línea]. Nueva York: ACM, 2019, p. 154-178 [consulta: 12 octubre 2026]. DOI 10.1145/3359591.3359737. Disponible en: https://doi.org/10.1145/3359591.3359737</w:t>
      </w:r>
    </w:p>
    <w:p>
      <w:pPr>
        <w:pStyle w:val="Referencia"/>
      </w:pPr>
      <w:r>
        <w:t xml:space="preserve">[8] HEVNER, A.R., MARCH, S.T., PARK, J. y RAM, S. Design science in information systems research. MIS Quarterly [en línea]. 2004, vol. 28, no. 1, p. 75-105 [consulta: 12 octubre 2026]. DOI 10.2307/25148625. Disponible en: https://doi.org/10.2307/25148625</w:t>
      </w:r>
    </w:p>
    <w:p>
      <w:pPr>
        <w:pStyle w:val="Referencia"/>
      </w:pPr>
      <w:r>
        <w:t xml:space="preserve">[9] PEFFERS, K., TUUNANEN, T., ROTHENBERGER, M.A. y CHATTERJEE, S. A design science research methodology for information systems research. Journal of Management Information Systems [en línea]. 2007, vol. 24, no. 3, p. 45-77 [consulta: 12 octubre 2026]. DOI 10.2753/MIS0742-1222240302. Disponible en: https://doi.org/10.2753/MIS0742-1222240302</w:t>
      </w:r>
    </w:p>
    <w:p>
      <w:pPr>
        <w:pStyle w:val="Referencia"/>
      </w:pPr>
      <w:r>
        <w:t xml:space="preserve">[10] PORTASE, R.L., TOLAS, R. y POTOLEA, R. SmartLaundry: a real-time system for public laundry allocation in smart cities. Sensors [en línea]. 2024, vol. 24, no. 7, art. n.º 2159 [consulta: 12 octubre 2026]. DOI 10.3390/s24072159. Disponible en: https://doi.org/10.3390/s24072159</w:t>
      </w:r>
    </w:p>
    <w:p>
      <w:pPr>
        <w:pStyle w:val="Referencia"/>
      </w:pPr>
      <w:r>
        <w:t xml:space="preserve">[11] MUTIA, C., FAUZIAH, F., MEIDITRA, I., YUDA, F. y RAHMANSYAH, R. Designing a web-based laundry service application for Strala Laundry. J-INTECH [en línea]. 2025, vol. 13, no. 1, p. 78-85 [consulta: 12 octubre 2026]. DOI 10.32664/j-intech.v13i01.1820. Disponible en: https://doi.org/10.32664/j-intech.v13i01.1820</w:t>
      </w:r>
    </w:p>
    <w:p>
      <w:pPr>
        <w:pStyle w:val="Referencia"/>
      </w:pPr>
      <w:r>
        <w:t xml:space="preserve">[12] ACHYANI, Y.E., AULIANITA, R. y MUKHAYAROH, A. Web-based laundry service information system using Rapid Application Development method. Paradigma: Jurnal Komputer dan Informatika [en línea]. 2024, vol. 26, no. 1, p. 17-23 [consulta: 12 octubre 2026]. DOI 10.31294/p.v26i1.3231. Disponible en: https://doi.org/10.31294/p.v26i1.3231</w:t>
      </w:r>
    </w:p>
    <w:p>
      <w:pPr>
        <w:pStyle w:val="Referencia"/>
      </w:pPr>
      <w:r>
        <w:t xml:space="preserve">[13] MUHAMMAD, N. y ALFARID, M.N.N. Implementation of web-based real-time laundry status tracking system. Journal of Information Technology and Its Utilization [en línea]. 2025, vol. 8, no. 2, p. 45-51 [consulta: 12 octubre 2026]. DOI 10.56873/jitu.8.2.6039. Disponible en: https://doi.org/10.56873/jitu.8.2.6039</w:t>
      </w:r>
    </w:p>
    <w:p>
      <w:pPr>
        <w:pStyle w:val="Referencia"/>
      </w:pPr>
      <w:r>
        <w:t xml:space="preserve">[14] RAHMADANI, N.F. et al. Design, development, and implementation of a desktop-based laundry management application for optimizing operational efficiency. TIN: Terapan Informatika Nusantara [en línea]. 2025, vol. 5, no. 9, p. 504-518 [consulta: 12 octubre 2026]. DOI 10.47065/tin.v5i9.7045. Disponible en: https://doi.org/10.47065/tin.v5i9.7045</w:t>
      </w:r>
    </w:p>
    <w:p>
      <w:pPr>
        <w:pStyle w:val="Referencia"/>
      </w:pPr>
      <w:r>
        <w:t xml:space="preserve">[15] KLOKMOSE, C.N., EAGAN, J.R. y VAN HARDENBERG, P. MyWebstrates: Webstrates as local-first software. En: Proceedings of the 37th Annual ACM Symposium on User Interface Software and Technology [en línea]. Nueva York: ACM, 2024 [consulta: 12 octubre 2026]. DOI 10.1145/3654777.3676445. Disponible en: https://doi.org/10.1145/3654777.3676445</w:t>
      </w:r>
    </w:p>
    <w:p>
      <w:pPr>
        <w:pStyle w:val="Referencia"/>
      </w:pPr>
      <w:r>
        <w:t xml:space="preserve">[16] HAAS, J., MOGK, R., YANAKIEVA, E., BIENIUSA, A. y MEZINI, M. LoRe: a programming model for verifiably safe local-first software. ACM Transactions on Programming Languages and Systems [en línea]. 2024, vol. 46, no. 1, art. n.º 2 [consulta: 12 octubre 2026]. DOI 10.1145/3633769. Disponible en: https://doi.org/10.1145/3633769</w:t>
      </w:r>
    </w:p>
    <w:p>
      <w:pPr>
        <w:pStyle w:val="Referencia"/>
      </w:pPr>
      <w:r>
        <w:t xml:space="preserve">[17] WEN, J., CHEN, Z., JIN, X. y LIU, X. Rise of the planet of serverless computing: a systematic review. ACM Transactions on Software Engineering and Methodology [en línea]. 2023, vol. 32, no. 5, art. n.º 131 [consulta: 12 octubre 2026]. DOI 10.1145/3579643. Disponible en: https://doi.org/10.1145/3579643</w:t>
      </w:r>
    </w:p>
    <w:p>
      <w:pPr>
        <w:pStyle w:val="Referencia"/>
      </w:pPr>
      <w:r>
        <w:t xml:space="preserve">[18] STEFANAC, T. y COLOMO-PALACIOS, R. NoOps: a multivocal literature review. Procedia Computer Science [en línea]. 2022, vol. 196, p. 167-174 [consulta: 12 octubre 2026]. DOI 10.1016/j.procs.2021.12.002. Disponible en: https://doi.org/10.1016/j.procs.2021.12.002</w:t>
      </w:r>
    </w:p>
    <w:p>
      <w:pPr>
        <w:pStyle w:val="Referencia"/>
      </w:pPr>
      <w:r>
        <w:t xml:space="preserve">[19] CONSEJO NACIONAL DE POLÍTICA ECONÓMICA Y SOCIAL (CONPES). Documento CONPES 3975: Política nacional para la transformación digital e inteligencia artificial. Bogotá: Departamento Nacional de Planeación, 2019.</w:t>
      </w:r>
    </w:p>
    <w:p>
      <w:pPr>
        <w:pStyle w:val="Referencia"/>
      </w:pPr>
      <w:r>
        <w:t xml:space="preserve">[20] DONG, H., ZHANG, C., LI, G. y ZHANG, H. Cloud-native databases: a survey. IEEE Transactions on Knowledge and Data Engineering [en línea]. 2024, vol. 36, no. 12, p. 7772-7791 [consulta: 12 octubre 2026]. DOI 10.1109/TKDE.2024.3397508. Disponible en: https://doi.org/10.1109/TKDE.2024.3397508</w:t>
      </w:r>
    </w:p>
    <w:p>
      <w:pPr>
        <w:pStyle w:val="Referencia"/>
      </w:pPr>
      <w:r>
        <w:t xml:space="preserve">[21] VO VAN, H., SAREA, A.M. y SALEH, I. Accounting information systems and organizational performance in the cloud computing era. Sustainability Accounting, Management and Policy Journal [en línea]. 2024 [consulta: 12 octubre 2026]. DOI 10.1108/SAMPJ-01-2024-0044. Disponible en: https://doi.org/10.1108/SAMPJ-01-2024-0044</w:t>
      </w:r>
    </w:p>
    <w:p>
      <w:pPr>
        <w:pStyle w:val="Referencia"/>
      </w:pPr>
      <w:r>
        <w:t xml:space="preserve">[22] SHIOI, T. et al. Read-safe snapshots: an abort/wait-free serializable read method for read-only transactions on mixed OLTP/OLAP workloads. Information Systems [en línea]. 2024, vol. 124, art. n.º 102385 [consulta: 12 octubre 2026]. DOI 10.1016/j.is.2024.102385. Disponible en: https://doi.org/10.1016/j.is.2024.102385</w:t>
      </w:r>
    </w:p>
    <w:p>
      <w:pPr>
        <w:pStyle w:val="Referencia"/>
      </w:pPr>
      <w:r>
        <w:t xml:space="preserve">[23] HAUBENSCHILD, M. y LEIS, V. OLTP in the cloud: architectures, tradeoffs, and cost. The VLDB Journal [en línea]. 2025, vol. 34, no. 4, p. 1-25 [consulta: 12 octubre 2026]. DOI 10.1007/s00778-025-00913-2. Disponible en: https://doi.org/10.1007/s00778-025-00913-2</w:t>
      </w:r>
    </w:p>
    <w:p>
      <w:pPr>
        <w:pStyle w:val="Referencia"/>
      </w:pPr>
      <w:r>
        <w:t xml:space="preserve">[24] FELDACKER, C. et al. A community-based, mobile electronic medical record system app for high-quality, integrated antiretroviral therapy in Lilongwe, Malawi. JMIR Formative Research [en línea]. 2023, vol. 7, art. n.º e48671 [consulta: 12 octubre 2026]. DOI 10.2196/48671. Disponible en: https://doi.org/10.2196/48671</w:t>
      </w:r>
    </w:p>
    <w:p>
      <w:pPr>
        <w:pStyle w:val="Referencia"/>
      </w:pPr>
      <w:r>
        <w:t xml:space="preserve">[25] GUYO, E.D. y HARTMANN, T. Evaluating the efficiency and performance of data persistent systems in managing building and environmental data. Advanced Engineering Informatics [en línea]. 2024, vol. 62, art. n.º 102582 [consulta: 12 octubre 2026]. DOI 10.1016/j.aei.2024.102582. Disponible en: https://doi.org/10.1016/j.aei.2024.102582</w:t>
      </w:r>
    </w:p>
    <w:p>
      <w:pPr>
        <w:pStyle w:val="Referencia"/>
      </w:pPr>
      <w:r>
        <w:t xml:space="preserve">[26] LITT, G., SCHIEFER, N., SCHICKLING, J. y JACKSON, D. Riffle: reactive relational state for local-first applications. En: Proceedings of the 36th Annual ACM Symposium on User Interface Software and Technology [en línea]. Nueva York: ACM, 2023 [consulta: 12 octubre 2026]. DOI 10.1145/3586183.3606801. Disponible en: https://doi.org/10.1145/3586183.3606801</w:t>
      </w:r>
    </w:p>
    <w:p>
      <w:pPr>
        <w:pStyle w:val="Referencia"/>
      </w:pPr>
      <w:r>
        <w:t xml:space="preserve">[27] CASSEL, G.A.S. et al. Serverless computing for Internet of Things: a systematic literature review. Future Generation Computer Systems [en línea]. 2022, vol. 128, p. 299-316 [consulta: 12 octubre 2026]. DOI 10.1016/j.future.2021.10.020. Disponible en: https://doi.org/10.1016/j.future.2021.10.020</w:t>
      </w:r>
    </w:p>
    <w:p>
      <w:pPr>
        <w:pStyle w:val="Referencia"/>
      </w:pPr>
      <w:r>
        <w:t xml:space="preserve">[28] DENG, S. et al. Cloud-native computing: a survey from the perspective of services. Proceedings of the IEEE [en línea]. 2024, vol. 112, no. 1, p. 12-46 [consulta: 12 octubre 2026]. DOI 10.1109/JPROC.2024.3353855. Disponible en: https://doi.org/10.1109/JPROC.2024.3353855</w:t>
      </w:r>
    </w:p>
    <w:p>
      <w:pPr>
        <w:pStyle w:val="Referencia"/>
      </w:pPr>
      <w:r>
        <w:t xml:space="preserve">[29] SAURO, J. y LEWIS, J.R. Quantifying the User Experience: Practical Statistics for User Research. 2.ª ed. Cambridge, MA: Morgan Kaufmann, 2016.</w:t>
      </w:r>
    </w:p>
    <w:p>
      <w:pPr>
        <w:pStyle w:val="Referencia"/>
      </w:pPr>
      <w:r>
        <w:t xml:space="preserve">[30] BROOKE, J. SUS: a «quick and dirty» usability scale. En: JORDAN, P.W., THOMAS, B., WEERDMEESTER, B.A. y MCCLELLAND, I.L., eds. Usability Evaluation in Industry. Londres: Taylor &amp; Francis, 1996, p. 189-194.</w:t>
      </w:r>
    </w:p>
    <w:p>
      <w:pPr>
        <w:pStyle w:val="Referencia"/>
      </w:pPr>
      <w:r>
        <w:t xml:space="preserve">[31] BANGOR, A., KORTUM, P. y MILLER, J. Determining what individual SUS scores mean: adding an adjective rating scale. Journal of Usability Studies [en línea]. 2009, vol. 4, no. 3, p. 114-123 [consulta: 12 octubre 2026]. Disponible en: https://uxpajournal.org/determining-what-individual-sus-scores-mean-adding-an-adjective-rating-scale/</w:t>
      </w:r>
    </w:p>
    <w:p>
      <w:pPr>
        <w:pStyle w:val="Referencia"/>
      </w:pPr>
      <w:r>
        <w:t xml:space="preserve">[32] INTERNATIONAL ORGANIZATION FOR STANDARDIZATION. ISO/IEC/IEEE 29119-1:2022, Software and systems engineering — Software testing — Part 1: General concepts. Ginebra: ISO, 2022.</w:t>
      </w:r>
    </w:p>
    <w:p>
      <w:pPr>
        <w:pStyle w:val="Referencia"/>
      </w:pPr>
      <w:r>
        <w:t xml:space="preserve">[33] PLAZOTTA, M. y KLETTKE, M. Data architectures in cloud environments. Datenbank-Spektrum [en línea]. 2024, vol. 24, no. 3, p. 243-247 [consulta: 12 octubre 2026]. DOI 10.1007/s13222-024-00490-5. Disponible en: https://doi.org/10.1007/s13222-024-00490-5</w:t>
      </w:r>
    </w:p>
    <w:p>
      <w:pPr>
        <w:pStyle w:val="Referencia"/>
      </w:pPr>
      <w:r>
        <w:t xml:space="preserve">[34] RULINAWATY et al. Investigating the influence of the updated DeLone and McLean information system (IS) success model on the effectiveness of learning management system (LMS) implementation. Cogent Education [en línea]. 2024, vol. 11, no. 1, art. n.º 2365611 [consulta: 12 octubre 2026]. DOI 10.1080/2331186X.2024.2365611. Disponible en: https://doi.org/10.1080/2331186X.2024.2365611</w:t>
      </w:r>
    </w:p>
    <w:p>
      <w:pPr>
        <w:pStyle w:val="Referencia"/>
      </w:pPr>
      <w:r>
        <w:t xml:space="preserve">[35] VIAL, G. Understanding digital transformation: a review and a research agenda. Journal of Strategic Information Systems [en línea]. 2019, vol. 28, no. 2, p. 118-144 [consulta: 12 octubre 2026]. DOI 10.1016/j.jsis.2019.01.003. Disponible en: https://doi.org/10.1016/j.jsis.2019.01.003</w:t>
      </w:r>
    </w:p>
    <w:p>
      <w:pPr>
        <w:pStyle w:val="Referencia"/>
      </w:pPr>
      <w:r>
        <w:t xml:space="preserve">[36] VERHOEF, P.C. et al. Digital transformation: a multidisciplinary reflection and research agenda. Journal of Business Research [en línea]. 2021, vol. 122, p. 889-901 [consulta: 12 octubre 2026]. DOI 10.1016/j.jbusres.2019.09.022. Disponible en: https://doi.org/10.1016/j.jbusres.2019.09.022</w:t>
      </w:r>
    </w:p>
    <w:p>
      <w:pPr>
        <w:pStyle w:val="Referencia"/>
      </w:pPr>
      <w:r>
        <w:t xml:space="preserve">[37] MARINO-ROMERO, J.A., PALOS-SÁNCHEZ, P.R. y VELICIA-MARTÍN, F. Evolution of digital transformation in SMEs management through a bibliometric analysis. Technological Forecasting and Social Change [en línea]. 2024, vol. 199, art. n.º 123014 [consulta: 12 octubre 2026]. DOI 10.1016/j.techfore.2023.123014. Disponible en: https://doi.org/10.1016/j.techfore.2023.123014</w:t>
      </w:r>
    </w:p>
    <w:p>
      <w:pPr>
        <w:pStyle w:val="Referencia"/>
      </w:pPr>
      <w:r>
        <w:t xml:space="preserve">[38] SAGALA, G.H. y ÖRI, D. Toward SMEs digital transformation success: a systematic literature review. Information Systems and e-Business Management [en línea]. 2024, vol. 22, p. 667-719 [consulta: 12 octubre 2026]. DOI 10.1007/s10257-024-00682-2. Disponible en: https://doi.org/10.1007/s10257-024-00682-2</w:t>
      </w:r>
    </w:p>
    <w:p>
      <w:pPr>
        <w:pStyle w:val="Referencia"/>
      </w:pPr>
      <w:r>
        <w:t xml:space="preserve">[39] KRAUS, S. et al. Digital transformation in business and management research. International Journal of Information Management [en línea]. 2022, vol. 63, art. n.º 102466 [consulta: 12 octubre 2026]. DOI 10.1016/j.ijinfomgt.2021.102466. Disponible en: https://doi.org/10.1016/j.ijinfomgt.2021.102466</w:t>
      </w:r>
    </w:p>
    <w:p>
      <w:pPr>
        <w:pStyle w:val="Referencia"/>
      </w:pPr>
      <w:r>
        <w:t xml:space="preserve">[40] MELO, I.C. et al. Sustainable digital transformation in small and medium enterprises (SMEs): a review on performance. Heliyon [en línea]. 2023, vol. 9, no. 3, art. n.º e13908 [consulta: 12 octubre 2026]. DOI 10.1016/j.heliyon.2023.e13908. Disponible en: https://doi.org/10.1016/j.heliyon.2023.e13908</w:t>
      </w:r>
    </w:p>
    <w:p>
      <w:pPr>
        <w:pStyle w:val="Referencia"/>
      </w:pPr>
      <w:r>
        <w:t xml:space="preserve">[41] GARZONI, A., DE TURI, I., SECUNDO, G. y DEL VECCHIO, P. Fostering digital transformation of SMEs: a four levels approach. Management Decision [en línea]. 2020, vol. 58, no. 8, p. 1543-1562 [consulta: 12 octubre 2026]. DOI 10.1108/MD-07-2019-0939. Disponible en: https://doi.org/10.1108/MD-07-2019-0939</w:t>
      </w:r>
    </w:p>
    <w:p>
      <w:pPr>
        <w:pStyle w:val="Referencia"/>
      </w:pPr>
      <w:r>
        <w:t xml:space="preserve">[42] SAAD, M. The influence of accounting information system adoption on business performance amid COVID-19. Computers in Human Behavior Reports [en línea]. 2023, vol. 10, art. n.º 100286 [consulta: 12 octubre 2026]. DOI 10.1016/j.chbr.2023.100286. Disponible en: https://doi.org/10.1016/j.chbr.2023.100286</w:t>
      </w:r>
    </w:p>
    <w:p>
      <w:pPr>
        <w:pStyle w:val="Referencia"/>
      </w:pPr>
      <w:r>
        <w:t xml:space="preserve">[43] DIAVASTIS, I.E., CHRYSAFIS, K.A. y PAPADOPOULOU, G.C. Determinants of accounting information systems success. International Journal of Financial Studies [en línea]. 2024, vol. 12, no. 2, art. n.º 42 [consulta: 12 octubre 2026]. DOI 10.3390/ijfs12020042. Disponible en: https://doi.org/10.3390/ijfs12020042</w:t>
      </w:r>
    </w:p>
    <w:p>
      <w:pPr>
        <w:pStyle w:val="Referencia"/>
      </w:pPr>
      <w:r>
        <w:t xml:space="preserve">[44] UNIÓN EUROPEA. Parlamento Europeo y Consejo. Reglamento (UE) 2016/679, de 27 de abril de 2016 (Reglamento general de protección de datos). Diario Oficial de la Unión Europea, L 119, 4 mayo 2016, p. 1-88.</w:t>
      </w:r>
    </w:p>
    <w:p>
      <w:pPr>
        <w:pStyle w:val="Referencia"/>
      </w:pPr>
      <w:r>
        <w:t xml:space="preserve">[45] COLOMBIA. Asamblea Nacional Constituyente. Constitución Política de Colombia. Gaceta Constitucional, no. 116, 20 julio 1991.</w:t>
      </w:r>
    </w:p>
    <w:p>
      <w:pPr>
        <w:pStyle w:val="Referencia"/>
      </w:pPr>
      <w:r>
        <w:t xml:space="preserve">[46] COLOMBIA. Congreso de la República. Ley Estatutaria 1581 de 2012, por la cual se dictan disposiciones generales para la protección de datos personales. Diario Oficial, 17 octubre 2012.</w:t>
      </w:r>
    </w:p>
    <w:p>
      <w:pPr>
        <w:pStyle w:val="Referencia"/>
      </w:pPr>
      <w:r>
        <w:t xml:space="preserve">[47] COLOMBIA. Presidencia de la República. Decreto 1377 de 2013. Diario Oficial, 27 junio 2013.</w:t>
      </w:r>
    </w:p>
    <w:p>
      <w:pPr>
        <w:pStyle w:val="Referencia"/>
      </w:pPr>
      <w:r>
        <w:t xml:space="preserve">[48] COLOMBIA. Congreso de la República. Ley 527 de 1999, por medio de la cual se define y reglamenta el acceso y uso de los mensajes de datos, del comercio electrónico y de las firmas digitales. Diario Oficial, 18 agosto 1999.</w:t>
      </w:r>
    </w:p>
    <w:p>
      <w:pPr>
        <w:pStyle w:val="Referencia"/>
      </w:pPr>
      <w:r>
        <w:t xml:space="preserve">[49] DELPORT, P.M.J., VON SOLMS, R. y GERBER, M. Methodological Guidelines for Design Science Research. Procedia Computer Science [en línea]. 2024, vol. 237, p. 195-203 [consulta: 12 octubre 2026]. DOI 10.1016/j.procs.2024.05.096. Disponible en: https://doi.org/10.1016/j.procs.2024.05.096</w:t>
      </w:r>
    </w:p>
    <w:p>
      <w:pPr>
        <w:pStyle w:val="Referencia"/>
      </w:pPr>
      <w:r>
        <w:t xml:space="preserve">[50] INTERNATIONAL ORGANIZATION FOR STANDARDIZATION. ISO/IEC/IEEE 29148:2018, Systems and software engineering — Life cycle processes — Requirements engineering. Ginebra: ISO, 2018.</w:t>
      </w:r>
    </w:p>
    <w:p>
      <w:pPr>
        <w:pStyle w:val="Referencia"/>
      </w:pPr>
      <w:r>
        <w:t xml:space="preserve">[51] COLOMBIA. Congreso de la República. Ley 2101 de 2021, por medio de la cual se reduce la jornada laboral semanal de manera gradual. Diario Oficial, 15 julio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No se determinó. El mecanismo (escritura a Firestore aparte del cierre local) explica por qué SQLite conservó el cierre, no por qué falló la escritura esos tres sábados. El error de consola de esos días no se conservó</w:t>
            </w:r>
          </w:p>
        </w:tc>
        <w:tc>
          <w:tcPr>
            <w:tcW w:w="0" w:type="auto"/>
          </w:tcPr>
          <w:p>
            <w:r>
              <w:rPr>
                <w:sz w:val="20"/>
              </w:rPr>
              <w:t xml:space="preserve">Se documenta como hallazgo de RF12; el capítulo 6 recomienda reintentar la escritura y avisar en pantalla.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[30].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