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(a) con conexión y (b) sin conexión</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[6], [21]. Lo que se construyó aquí es un sistema de procesamiento de transacciones (OLTP), hecho para operaciones cortas y frecuentes, como registrar un pedido o un pago [20], [22], [23].</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[15], [16]. Aquí se aplica con una arquitectura local-first autoalojada, en la que los datos están en el equipo del usuario y la nube cumple funciones complementarias [7]. El servidor y la base de datos funcionan en un computador del local, y eso da la persistencia local [16], [24], [25].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[26]. La parte en la nube usa servicios administrados, en la línea de los enfoques NoOps, serverless y cloud-native, para no tener que administrar servidores [17], [18], [27], [28].</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[29], y se mide con la System Usability Scale (SUS) [30], [31]. Los requerimientos se verifican con pruebas de caja negra, que comparan el resultado obtenido con el esperado sin revisar el código [32].</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[7] describen esa idea, que el usuario trabaje sobre sus datos en su propio equipo y la nube quede para respaldo y colaboración, y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[17], [18], [20], [23], [33]. Para evaluar el prototipo se tomó de DeLone y McLean la calidad del sistema, el uso y la satisfacción [6], [34], se midió la usabilidad con la SUS de Brooke [30], leída con las escalas de Bangor et al. [31] y Sauro y Lewis [29], y se armaron los casos de prueba con la ISO/IEC/IEEE 29119 [32], como pide Hevner et al. [8]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E2 termina en evento de fin; la flecha punteada es un flujo de mensaje.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En el pool Cliente, un evento intermedio de mensaje («Recibe aviso de pedido listo») espera la notificación por WhatsApp. Tras el recibo con código de barras, una compuerta paralela divide el flujo hacia el abono o la entrega parcial y hacia la actualización de estado.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de prueba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[29], [31].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R. Eller, P. Alford, A. Kallmünzer, and M. Peters, “Antecedents, consequences, and challenges of small and medium-sized enterprise digitalization,” J. Bus. Res., vol. 112, pp. 119–127, 2020, doi: 10.1016/j.jbusres.2020.03.004.</w:t>
      </w:r>
    </w:p>
    <w:p>
      <w:pPr>
        <w:pStyle w:val="Referencia"/>
      </w:pPr>
      <w:r>
        <w:t xml:space="preserve">[4] J. Hirs and F. Vargas, “Prioridades para la digitalización empresarial en América Latina y el Caribe,” Banco Interamericano de Desarrollo, Washington, DC, USA, 2023, doi: 10.18235/0005166.</w:t>
      </w:r>
    </w:p>
    <w:p>
      <w:pPr>
        <w:pStyle w:val="Referencia"/>
      </w:pPr>
      <w:r>
        <w:t xml:space="preserve">[5] Q. Fu, G. L. Nicholson, and J. M. Easton, “Understanding data quality in a data-driven industry context,” J. Ind. Inf. Integr., vol. 42, Art. no. 100729, 2024, doi: 10.1016/j.jii.2024.100729.</w:t>
      </w:r>
    </w:p>
    <w:p>
      <w:pPr>
        <w:pStyle w:val="Referencia"/>
      </w:pPr>
      <w:r>
        <w:t xml:space="preserve">[6] A. Lutfi, “Factors affecting the success of accounting information system from the lens of DeLone and McLean IS model,” Int. J. Inf. Manage. Data Insights, vol. 3, no. 2, Art. no. 100202, 2023, doi: 10.1016/j.jjimei.2023.100202.</w:t>
      </w:r>
    </w:p>
    <w:p>
      <w:pPr>
        <w:pStyle w:val="Referencia"/>
      </w:pPr>
      <w:r>
        <w:t xml:space="preserve">[7] M. Kleppmann, A. Wiggins, P. van Hardenberg, and M. McGranaghan, “Local-first software: You own your data, in spite of the cloud,” in Proc. 2019 ACM SIGPLAN Onward!, New York, NY, USA, 2019, pp. 154–178, doi: 10.1145/3359591.3359737.</w:t>
      </w:r>
    </w:p>
    <w:p>
      <w:pPr>
        <w:pStyle w:val="Referencia"/>
      </w:pPr>
      <w:r>
        <w:t xml:space="preserve">[8] A. R. Hevner, S. T. March, J. Park, and S. Ram, “Design science in information systems research,” MIS Q., vol. 28, no. 1, pp. 75–105, 2004, doi: 10.2307/25148625.</w:t>
      </w:r>
    </w:p>
    <w:p>
      <w:pPr>
        <w:pStyle w:val="Referencia"/>
      </w:pPr>
      <w:r>
        <w:t xml:space="preserve">[9] K. Peffers, T. Tuunanen, M. A. Rothenberger, and S. Chatterjee, “A design science research methodology for information systems research,” J. Manage. Inf. Syst., vol. 24, no. 3, pp. 45–77, 2007, doi: 10.2753/MIS0742-1222240302.</w:t>
      </w:r>
    </w:p>
    <w:p>
      <w:pPr>
        <w:pStyle w:val="Referencia"/>
      </w:pPr>
      <w:r>
        <w:t xml:space="preserve">[10] R. L. Portase, R. Tolas, and R. Potolea, “SmartLaundry: A real-time system for public laundry allocation in smart cities,” Sensors, vol. 24, no. 7, Art. no. 2159, 2024, doi: 10.3390/s24072159.</w:t>
      </w:r>
    </w:p>
    <w:p>
      <w:pPr>
        <w:pStyle w:val="Referencia"/>
      </w:pPr>
      <w:r>
        <w:t xml:space="preserve">[11] C. Mutia, F. Fauziah, I. Meiditra, F. Yuda, and R. Rahmansyah, “Designing a web-based laundry service application for Strala Laundry,” J-INTECH, vol. 13, no. 1, pp. 78–85, 2025, doi: 10.32664/j-intech.v13i01.1820.</w:t>
      </w:r>
    </w:p>
    <w:p>
      <w:pPr>
        <w:pStyle w:val="Referencia"/>
      </w:pPr>
      <w:r>
        <w:t xml:space="preserve">[12] Y. E. Achyani, R. Aulianita, and A. Mukhayaroh, “Web-based laundry service information system using Rapid Application Development method,” Paradigma: J. Komput. Informatika, vol. 26, no. 1, pp. 17–23, 2024, doi: 10.31294/p.v26i1.3231.</w:t>
      </w:r>
    </w:p>
    <w:p>
      <w:pPr>
        <w:pStyle w:val="Referencia"/>
      </w:pPr>
      <w:r>
        <w:t xml:space="preserve">[13] N. Muhammad and M. N. N. Alfarid, “Implementation of web-based real-time laundry status tracking system,” J. Inf. Technol. Its Utilization, vol. 8, no. 2, pp. 45–51, 2025, doi: 10.56873/jitu.8.2.6039.</w:t>
      </w:r>
    </w:p>
    <w:p>
      <w:pPr>
        <w:pStyle w:val="Referencia"/>
      </w:pPr>
      <w:r>
        <w:t xml:space="preserve">[14]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J. Haas, R. Mogk, E. Yanakieva, A. Bieniusa, and M. Mezini, “LoRe: A programming model for verifiably safe local-first software,” ACM Trans. Program. Lang. Syst., vol. 46, no. 1, Art. no. 2, 2024, doi: 10.1145/3633769.</w:t>
      </w:r>
    </w:p>
    <w:p>
      <w:pPr>
        <w:pStyle w:val="Referencia"/>
      </w:pPr>
      <w:r>
        <w:t xml:space="preserve">[17] J. Wen, Z. Chen, X. Jin, and X. Liu, “Rise of the planet of serverless computing: A systematic review,” ACM Trans. Softw. Eng. Methodol., vol. 32, no. 5, Art. no. 131, 2023, doi: 10.1145/3579643.</w:t>
      </w:r>
    </w:p>
    <w:p>
      <w:pPr>
        <w:pStyle w:val="Referencia"/>
      </w:pPr>
      <w:r>
        <w:t xml:space="preserve">[18] T. Stefanac and R. Colomo-Palacios, “NoOps: A multivocal literature review,” Procedia Comput. Sci., vol. 196, pp. 167–174, 2022, doi: 10.1016/j.procs.2021.12.002.</w:t>
      </w:r>
    </w:p>
    <w:p>
      <w:pPr>
        <w:pStyle w:val="Referencia"/>
      </w:pPr>
      <w:r>
        <w:t xml:space="preserve">[19]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[20] H. Dong, C. Zhang, G. Li, and H. Zhang, “Cloud-native databases: A survey,” IEEE Trans. Knowl. Data Eng., vol. 36, no. 12, pp. 7772–7791, 2024, doi: 10.1109/TKDE.2024.3397508.</w:t>
      </w:r>
    </w:p>
    <w:p>
      <w:pPr>
        <w:pStyle w:val="Referencia"/>
      </w:pPr>
      <w:r>
        <w:t xml:space="preserve">[21] H. Vo Van, A. M. Sarea, and I. Saleh, “Accounting information systems and organizational performance in the cloud computing era,” Sustainability Accounting, Manage. Policy J., 2024, doi: 10.1108/SAMPJ-01-2024-0044.</w:t>
      </w:r>
    </w:p>
    <w:p>
      <w:pPr>
        <w:pStyle w:val="Referencia"/>
      </w:pPr>
      <w:r>
        <w:t xml:space="preserve">[22]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[23] M. Haubenschild and V. Leis, “OLTP in the cloud: Architectures, tradeoffs, and cost,” VLDB J., vol. 34, no. 4, pp. 1–25, 2025, doi: 10.1007/s00778-025-00913-2.</w:t>
      </w:r>
    </w:p>
    <w:p>
      <w:pPr>
        <w:pStyle w:val="Referencia"/>
      </w:pPr>
      <w:r>
        <w:t xml:space="preserve">[24] C. Feldacker et al., “A community-based, mobile electronic medical record system app for high-quality, integrated antiretroviral therapy in Lilongwe, Malawi,” JMIR Formative Res., vol. 7, Art. no. e48671, 2023, doi: 10.2196/48671.</w:t>
      </w:r>
    </w:p>
    <w:p>
      <w:pPr>
        <w:pStyle w:val="Referencia"/>
      </w:pPr>
      <w:r>
        <w:t xml:space="preserve">[25] E. D. Guyo and T. Hartmann, “Evaluating the efficiency and performance of data persistent systems in managing building and environmental data,” Adv. Eng. Informat., vol. 62, Art. no. 102582, 2024, doi: 10.1016/j.aei.2024.102582.</w:t>
      </w:r>
    </w:p>
    <w:p>
      <w:pPr>
        <w:pStyle w:val="Referencia"/>
      </w:pPr>
      <w:r>
        <w:t xml:space="preserve">[26] G. Litt, N. Schiefer, J. Schickling, and D. Jackson, “Riffle: Reactive relational state for local-first applications,” in Proc. 36th Annu. ACM Symp. User Interface Softw. Technol., New York, NY, USA, 2023, doi: 10.1145/3586183.3606801.</w:t>
      </w:r>
    </w:p>
    <w:p>
      <w:pPr>
        <w:pStyle w:val="Referencia"/>
      </w:pPr>
      <w:r>
        <w:t xml:space="preserve">[27] G. A. S. Cassel et al., “Serverless computing for Internet of Things: A systematic literature review,” Future Gener. Comput. Syst., vol. 128, pp. 299–316, 2022, doi: 10.1016/j.future.2021.10.020.</w:t>
      </w:r>
    </w:p>
    <w:p>
      <w:pPr>
        <w:pStyle w:val="Referencia"/>
      </w:pPr>
      <w:r>
        <w:t xml:space="preserve">[28] S. Deng et al., “Cloud-native computing: A survey from the perspective of services,” Proc. IEEE, vol. 112, no. 1, pp. 12–46, 2024, doi: 10.1109/JPROC.2024.3353855.</w:t>
      </w:r>
    </w:p>
    <w:p>
      <w:pPr>
        <w:pStyle w:val="Referencia"/>
      </w:pPr>
      <w:r>
        <w:t xml:space="preserve">[29] J. Sauro and J. R. Lewis, Quantifying the User Experience: Practical Statistics for User Research, 2nd ed. Cambridge, MA, USA: Morgan Kaufmann, 2016.</w:t>
      </w:r>
    </w:p>
    <w:p>
      <w:pPr>
        <w:pStyle w:val="Referencia"/>
      </w:pPr>
      <w:r>
        <w:t xml:space="preserve">[30] J. Brooke, “SUS: A ‘quick and dirty’ usability scale,” in Usability Evaluation in Industry, P. W. Jordan, B. Thomas, B. A. Weerdmeester, and I. L. McClelland, Eds. London, U.K.: Taylor &amp; Francis, 1996, pp. 189–194.</w:t>
      </w:r>
    </w:p>
    <w:p>
      <w:pPr>
        <w:pStyle w:val="Referencia"/>
      </w:pPr>
      <w:r>
        <w:t xml:space="preserve">[31] A. Bangor, P. Kortum, and J. Miller, “Determining what individual SUS scores mean: Adding an adjective rating scale,” J. Usability Stud., vol. 4, no. 3, pp. 114–123, 2009.</w:t>
      </w:r>
    </w:p>
    <w:p>
      <w:pPr>
        <w:pStyle w:val="Referencia"/>
      </w:pPr>
      <w:r>
        <w:t xml:space="preserve">[32] ISO/IEC/IEEE 29119-1:2022, Software and systems engineering — Software testing — Part 1: General concepts, ISO, Geneva, Switzerland, 2022.</w:t>
      </w:r>
    </w:p>
    <w:p>
      <w:pPr>
        <w:pStyle w:val="Referencia"/>
      </w:pPr>
      <w:r>
        <w:t xml:space="preserve">[33] M. Plazotta and M. Klettke, “Data architectures in cloud environments,” Datenbank-Spektrum, vol. 24, no. 3, pp. 243–247, 2024, doi: 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[35] G. Vial, “Understanding digital transformation: A review and a research agenda,” J. Strategic Inf. Syst., vol. 28, no. 2, pp. 118–144, 2019, doi: 10.1016/j.jsis.2019.01.003.</w:t>
      </w:r>
    </w:p>
    <w:p>
      <w:pPr>
        <w:pStyle w:val="Referencia"/>
      </w:pPr>
      <w:r>
        <w:t xml:space="preserve">[36] P. C. Verhoef et al., “Digital transformation: A multidisciplinary reflection and research agenda,” J. Bus. Res., vol. 122, pp. 889–901, 2021, doi: 10.1016/j.jbusres.2019.09.022.</w:t>
      </w:r>
    </w:p>
    <w:p>
      <w:pPr>
        <w:pStyle w:val="Referencia"/>
      </w:pPr>
      <w:r>
        <w:t xml:space="preserve">[37]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[38] G. H. Sagala and D. Öri, “Toward SMEs digital transformation success: A systematic literature review,” Inf. Syst. e-Bus. Manage., vol. 22, pp. 667–719, 2024, doi: 10.1007/s10257-024-00682-2.</w:t>
      </w:r>
    </w:p>
    <w:p>
      <w:pPr>
        <w:pStyle w:val="Referencia"/>
      </w:pPr>
      <w:r>
        <w:t xml:space="preserve">[39] S. Kraus et al., “Digital transformation in business and management research,” Int. J. Inf. Manage., vol. 63, Art. no. 102466, 2022, doi: 10.1016/j.ijinfomgt.2021.102466.</w:t>
      </w:r>
    </w:p>
    <w:p>
      <w:pPr>
        <w:pStyle w:val="Referencia"/>
      </w:pPr>
      <w:r>
        <w:t xml:space="preserve">[40] I. C. Melo et al., “Sustainable digital transformation in small and medium enterprises (SMEs): A review on performance,” Heliyon, vol. 9, no. 3, Art. no. e13908, 2023, doi: 10.1016/j.heliyon.2023.e13908.</w:t>
      </w:r>
    </w:p>
    <w:p>
      <w:pPr>
        <w:pStyle w:val="Referencia"/>
      </w:pPr>
      <w:r>
        <w:t xml:space="preserve">[41] A. Garzoni, I. De Turi, G. Secundo, and P. Del Vecchio, “Fostering digital transformation of SMEs: A four levels approach,” Manage. Decis., vol. 58, no. 8, pp. 1543–1562, 2020, doi: 10.1108/MD-07-2019-0939.</w:t>
      </w:r>
    </w:p>
    <w:p>
      <w:pPr>
        <w:pStyle w:val="Referencia"/>
      </w:pPr>
      <w:r>
        <w:t xml:space="preserve">[42] M. Saad, “The influence of accounting information system adoption on business performance amid COVID-19,” Comput. Human Behav. Rep., vol. 10, Art. no. 100286, 2023, doi: 10.1016/j.chbr.2023.100286.</w:t>
      </w:r>
    </w:p>
    <w:p>
      <w:pPr>
        <w:pStyle w:val="Referencia"/>
      </w:pPr>
      <w:r>
        <w:t xml:space="preserve">[43] I. E. Diavastis, K. A. Chrysafis, and G. C. Papadopoulou, “Determinants of accounting information systems success,” Int. J. Financial Stud., vol. 12, no. 2, Art. no. 42, 2024, doi: 10.3390/ijfs12020042.</w:t>
      </w:r>
    </w:p>
    <w:p>
      <w:pPr>
        <w:pStyle w:val="Referencia"/>
      </w:pPr>
      <w:r>
        <w:t xml:space="preserve">[44] Parlamento Europeo y Consejo de la Unión Europea, “Reglamento (UE) 2016/679, de 27 de abril de 2016 (Reglamento general de protección de datos),” Diario Oficial de la Unión Europea, L 119, pp. 1–88, May 4, 2016.</w:t>
      </w:r>
    </w:p>
    <w:p>
      <w:pPr>
        <w:pStyle w:val="Referencia"/>
      </w:pPr>
      <w:r>
        <w:t xml:space="preserve">[45] Asamblea Nacional Constituyente, “Constitución Política de Colombia,” Gaceta Constitucional, no. 116, Jul. 20, 1991.</w:t>
      </w:r>
    </w:p>
    <w:p>
      <w:pPr>
        <w:pStyle w:val="Referencia"/>
      </w:pPr>
      <w:r>
        <w:t xml:space="preserve">[46] Congreso de la República de Colombia, “Ley Estatutaria 1581 de 2012,” Diario Oficial, Oct. 17, 2012.</w:t>
      </w:r>
    </w:p>
    <w:p>
      <w:pPr>
        <w:pStyle w:val="Referencia"/>
      </w:pPr>
      <w:r>
        <w:t xml:space="preserve">[47] Presidencia de la República de Colombia, “Decreto 1377 de 2013,” Diario Oficial, Jun. 27, 2013.</w:t>
      </w:r>
    </w:p>
    <w:p>
      <w:pPr>
        <w:pStyle w:val="Referencia"/>
      </w:pPr>
      <w:r>
        <w:t xml:space="preserve">[48] Congreso de la República de Colombia, “Ley 527 de 1999,” Diario Oficial, Aug. 18, 1999.</w:t>
      </w:r>
    </w:p>
    <w:p>
      <w:pPr>
        <w:pStyle w:val="Referencia"/>
      </w:pPr>
      <w:r>
        <w:t xml:space="preserve">[49] P. M. J. Delport, R. von Solms, and M. Gerber, “Methodological Guidelines for Design Science Research,” Procedia Comput. Sci., vol. 237, pp. 195–203, 2024, doi: 10.1016/j.procs.2024.05.096.</w:t>
      </w:r>
    </w:p>
    <w:p>
      <w:pPr>
        <w:pStyle w:val="Referencia"/>
      </w:pPr>
      <w:r>
        <w:t xml:space="preserve">[50] ISO/IEC/IEEE 29148:2018, Systems and software engineering — Life cycle processes — Requirements engineering, ISO, Geneva, Switzerland, 2018.</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