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7</w:t>
          </w:r>
        </w:p>
        <w:p>
          <w:pPr>
            <w:pStyle w:val="TOC1"/>
            <w:tabs>
              <w:tab w:val="clear" w:pos="9026"/>
              <w:tab w:val="right" w:pos="9360" w:leader="dot"/>
            </w:tabs>
          </w:pPr>
          <w:r>
            <w:t xml:space="default">RESUMEN</w:t>
            <w:tab/>
            <w:t xml:space="preserve">9</w:t>
          </w:r>
        </w:p>
        <w:p>
          <w:pPr>
            <w:pStyle w:val="TOC1"/>
            <w:tabs>
              <w:tab w:val="clear" w:pos="9026"/>
              <w:tab w:val="right" w:pos="9360" w:leader="dot"/>
            </w:tabs>
          </w:pPr>
          <w:r>
            <w:t xml:space="default">ABSTRACT</w:t>
            <w:tab/>
            <w:t xml:space="preserve">10</w:t>
          </w:r>
        </w:p>
        <w:p>
          <w:pPr>
            <w:pStyle w:val="TOC1"/>
            <w:tabs>
              <w:tab w:val="clear" w:pos="9026"/>
              <w:tab w:val="right" w:pos="9360" w:leader="dot"/>
            </w:tabs>
          </w:pPr>
          <w:r>
            <w:t xml:space="default">INTRODUCCIÓN</w:t>
            <w:tab/>
            <w:t xml:space="preserve">11</w:t>
          </w:r>
        </w:p>
        <w:p>
          <w:pPr>
            <w:pStyle w:val="TOC1"/>
            <w:tabs>
              <w:tab w:val="clear" w:pos="9026"/>
              <w:tab w:val="right" w:pos="9360" w:leader="dot"/>
            </w:tabs>
          </w:pPr>
          <w:r>
            <w:t xml:space="default">1. GENERALIDADES</w:t>
            <w:tab/>
            <w:t xml:space="preserve">12</w:t>
          </w:r>
        </w:p>
        <w:p>
          <w:pPr>
            <w:pStyle w:val="TOC2"/>
            <w:tabs>
              <w:tab w:val="clear" w:pos="8786"/>
              <w:tab w:val="right" w:pos="9360" w:leader="dot"/>
            </w:tabs>
          </w:pPr>
          <w:r>
            <w:t xml:space="default">1.1 ANTECEDENTES DEL PROBLEMA</w:t>
            <w:tab/>
            <w:t xml:space="preserve">12</w:t>
          </w:r>
        </w:p>
        <w:p>
          <w:pPr>
            <w:pStyle w:val="TOC2"/>
            <w:tabs>
              <w:tab w:val="clear" w:pos="8786"/>
              <w:tab w:val="right" w:pos="9360" w:leader="dot"/>
            </w:tabs>
          </w:pPr>
          <w:r>
            <w:t xml:space="default">1.2 PLANTEAMIENTO DEL PROBLEMA</w:t>
            <w:tab/>
            <w:t xml:space="preserve">12</w:t>
          </w:r>
        </w:p>
        <w:p>
          <w:pPr>
            <w:pStyle w:val="TOC2"/>
            <w:tabs>
              <w:tab w:val="clear" w:pos="8786"/>
              <w:tab w:val="right" w:pos="9360" w:leader="dot"/>
            </w:tabs>
          </w:pPr>
          <w:r>
            <w:t xml:space="default">1.3 JUSTIFICACIÓN</w:t>
            <w:tab/>
            <w:t xml:space="preserve">12</w:t>
          </w:r>
        </w:p>
        <w:p>
          <w:pPr>
            <w:pStyle w:val="TOC2"/>
            <w:tabs>
              <w:tab w:val="clear" w:pos="8786"/>
              <w:tab w:val="right" w:pos="9360" w:leader="dot"/>
            </w:tabs>
          </w:pPr>
          <w:r>
            <w:t xml:space="default">1.4 OBJETIVOS</w:t>
            <w:tab/>
            <w:t xml:space="preserve">13</w:t>
          </w:r>
        </w:p>
        <w:p>
          <w:pPr>
            <w:pStyle w:val="TOC3"/>
            <w:tabs>
              <w:tab w:val="clear" w:pos="8546"/>
              <w:tab w:val="right" w:pos="9360" w:leader="dot"/>
            </w:tabs>
          </w:pPr>
          <w:r>
            <w:t xml:space="default">1.4.1 Objetivo General.</w:t>
            <w:tab/>
            <w:t xml:space="preserve">13</w:t>
          </w:r>
        </w:p>
        <w:p>
          <w:pPr>
            <w:pStyle w:val="TOC3"/>
            <w:tabs>
              <w:tab w:val="clear" w:pos="8546"/>
              <w:tab w:val="right" w:pos="9360" w:leader="dot"/>
            </w:tabs>
          </w:pPr>
          <w:r>
            <w:t xml:space="default">1.4.2 Objetivos Específicos.</w:t>
            <w:tab/>
            <w:t xml:space="preserve">14</w:t>
          </w:r>
        </w:p>
        <w:p>
          <w:pPr>
            <w:pStyle w:val="TOC2"/>
            <w:tabs>
              <w:tab w:val="clear" w:pos="8786"/>
              <w:tab w:val="right" w:pos="9360" w:leader="dot"/>
            </w:tabs>
          </w:pPr>
          <w:r>
            <w:t xml:space="default">1.5 MARCOS DE REFERENCIA</w:t>
            <w:tab/>
            <w:t xml:space="preserve">14</w:t>
          </w:r>
        </w:p>
        <w:p>
          <w:pPr>
            <w:pStyle w:val="TOC3"/>
            <w:tabs>
              <w:tab w:val="clear" w:pos="8546"/>
              <w:tab w:val="right" w:pos="9360" w:leader="dot"/>
            </w:tabs>
          </w:pPr>
          <w:r>
            <w:t xml:space="default">1.5.1 Marco Conceptual.</w:t>
            <w:tab/>
            <w:t xml:space="preserve">14</w:t>
          </w:r>
        </w:p>
        <w:p>
          <w:pPr>
            <w:pStyle w:val="TOC3"/>
            <w:tabs>
              <w:tab w:val="clear" w:pos="8546"/>
              <w:tab w:val="right" w:pos="9360" w:leader="dot"/>
            </w:tabs>
          </w:pPr>
          <w:r>
            <w:t xml:space="default">1.5.2 Marco Teórico.</w:t>
            <w:tab/>
            <w:t xml:space="preserve">14</w:t>
          </w:r>
        </w:p>
        <w:p>
          <w:pPr>
            <w:pStyle w:val="TOC3"/>
            <w:tabs>
              <w:tab w:val="clear" w:pos="8546"/>
              <w:tab w:val="right" w:pos="9360" w:leader="dot"/>
            </w:tabs>
          </w:pPr>
          <w:r>
            <w:t xml:space="default">1.5.3 Marco Jurídico.</w:t>
            <w:tab/>
            <w:t xml:space="preserve">17</w:t>
          </w:r>
        </w:p>
        <w:p>
          <w:pPr>
            <w:pStyle w:val="TOC2"/>
            <w:tabs>
              <w:tab w:val="clear" w:pos="8786"/>
              <w:tab w:val="right" w:pos="9360" w:leader="dot"/>
            </w:tabs>
          </w:pPr>
          <w:r>
            <w:t xml:space="default">1.6 DISEÑO METODOLÓGICO</w:t>
            <w:tab/>
            <w:t xml:space="preserve">18</w:t>
          </w:r>
        </w:p>
        <w:p>
          <w:pPr>
            <w:pStyle w:val="TOC2"/>
            <w:tabs>
              <w:tab w:val="clear" w:pos="8786"/>
              <w:tab w:val="right" w:pos="9360" w:leader="dot"/>
            </w:tabs>
          </w:pPr>
          <w:r>
            <w:t xml:space="preserve">1.7 ALCANCE Y LIMITACIONES</w:t>
            <w:tab/>
            <w:t xml:space="preserve">20</w:t>
          </w:r>
        </w:p>
        <w:p>
          <w:pPr>
            <w:pStyle w:val="TOC1"/>
            <w:tabs>
              <w:tab w:val="clear" w:pos="9026"/>
              <w:tab w:val="right" w:pos="9360" w:leader="dot"/>
            </w:tabs>
          </w:pPr>
          <w:r>
            <w:t xml:space="default">2. CARACTERIZACIÓN DEL PROCESO OPERATIVO DE LAVASECO LA MANUELITA</w:t>
            <w:tab/>
            <w:t xml:space="preserve">22</w:t>
          </w:r>
        </w:p>
        <w:p>
          <w:pPr>
            <w:pStyle w:val="TOC2"/>
            <w:tabs>
              <w:tab w:val="clear" w:pos="8786"/>
              <w:tab w:val="right" w:pos="9360" w:leader="dot"/>
            </w:tabs>
          </w:pPr>
          <w:r>
            <w:t xml:space="default">2.1 INSTRUMENTOS APLICADOS</w:t>
            <w:tab/>
            <w:t xml:space="preserve">22</w:t>
          </w:r>
        </w:p>
        <w:p>
          <w:pPr>
            <w:pStyle w:val="TOC2"/>
            <w:tabs>
              <w:tab w:val="clear" w:pos="8786"/>
              <w:tab w:val="right" w:pos="9360" w:leader="dot"/>
            </w:tabs>
          </w:pPr>
          <w:r>
            <w:t xml:space="default">2.2 CARACTERIZACIÓN GENERAL DEL NEGOCIO</w:t>
            <w:tab/>
            <w:t xml:space="preserve">22</w:t>
          </w:r>
        </w:p>
        <w:p>
          <w:pPr>
            <w:pStyle w:val="TOC2"/>
            <w:tabs>
              <w:tab w:val="clear" w:pos="8786"/>
              <w:tab w:val="right" w:pos="9360" w:leader="dot"/>
            </w:tabs>
          </w:pPr>
          <w:r>
            <w:t xml:space="default">2.3 FLUJO DEL PROCESO OPERATIVO ACTUAL</w:t>
            <w:tab/>
            <w:t xml:space="preserve">22</w:t>
          </w:r>
        </w:p>
        <w:p>
          <w:pPr>
            <w:pStyle w:val="TOC2"/>
            <w:tabs>
              <w:tab w:val="clear" w:pos="8786"/>
              <w:tab w:val="right" w:pos="9360" w:leader="dot"/>
            </w:tabs>
          </w:pPr>
          <w:r>
            <w:t xml:space="default">2.4 PUNTOS CRÍTICOS IDENTIFICADOS</w:t>
            <w:tab/>
            <w:t xml:space="preserve">23</w:t>
          </w:r>
        </w:p>
        <w:p>
          <w:pPr>
            <w:pStyle w:val="TOC2"/>
            <w:tabs>
              <w:tab w:val="clear" w:pos="8786"/>
              <w:tab w:val="right" w:pos="9360" w:leader="dot"/>
            </w:tabs>
          </w:pPr>
          <w:r>
            <w:t xml:space="default">2.5 MATRIZ DE REQUERIMIENTOS</w:t>
            <w:tab/>
            <w:t xml:space="preserve">24</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38</w:t>
          </w:r>
        </w:p>
        <w:p>
          <w:pPr>
            <w:pStyle w:val="TOC2"/>
            <w:tabs>
              <w:tab w:val="clear" w:pos="8786"/>
              <w:tab w:val="right" w:pos="9360" w:leader="dot"/>
            </w:tabs>
          </w:pPr>
          <w:r>
            <w:t xml:space="default">3.4 PERSISTENCIA LOCAL Y MECANISMO DE SINCRONIZACIÓN</w:t>
            <w:tab/>
            <w:t xml:space="preserve">46</w:t>
          </w:r>
        </w:p>
        <w:p>
          <w:pPr>
            <w:pStyle w:val="TOC2"/>
            <w:tabs>
              <w:tab w:val="clear" w:pos="8786"/>
              <w:tab w:val="right" w:pos="9360" w:leader="dot"/>
            </w:tabs>
          </w:pPr>
          <w:r>
            <w:t xml:space="default">3.5 PROTECCIÓN DE DATOS PERSONALES</w:t>
            <w:tab/>
            <w:t xml:space="preserve">47</w:t>
          </w:r>
        </w:p>
        <w:p>
          <w:pPr>
            <w:pStyle w:val="TOC2"/>
            <w:tabs>
              <w:tab w:val="clear" w:pos="8786"/>
              <w:tab w:val="right" w:pos="9360" w:leader="dot"/>
            </w:tabs>
          </w:pPr>
          <w:r>
            <w:t xml:space="default">3.6 PREPARACIÓN PARA UNA EVENTUAL OPERACIÓN MULTI-SEDE</w:t>
            <w:tab/>
            <w:t xml:space="preserve">48</w:t>
          </w:r>
        </w:p>
        <w:p>
          <w:pPr>
            <w:pStyle w:val="TOC2"/>
            <w:tabs>
              <w:tab w:val="clear" w:pos="8786"/>
              <w:tab w:val="right" w:pos="9360" w:leader="dot"/>
            </w:tabs>
          </w:pPr>
          <w:r>
            <w:t xml:space="default">3.7 ANÁLISIS DE RESULTADOS Y CUMPLIMIENTO DEL OBJETIVO</w:t>
            <w:tab/>
            <w:t xml:space="preserve">48</w:t>
          </w:r>
        </w:p>
        <w:p>
          <w:pPr>
            <w:pStyle w:val="TOC1"/>
            <w:tabs>
              <w:tab w:val="clear" w:pos="9026"/>
              <w:tab w:val="right" w:pos="9360" w:leader="dot"/>
            </w:tabs>
          </w:pPr>
          <w:r>
            <w:t xml:space="default">4. DESARROLLO DEL TERCER OBJETIVO</w:t>
            <w:tab/>
            <w:t xml:space="preserve">50</w:t>
          </w:r>
        </w:p>
        <w:p>
          <w:pPr>
            <w:pStyle w:val="TOC2"/>
            <w:tabs>
              <w:tab w:val="clear" w:pos="8786"/>
              <w:tab w:val="right" w:pos="9360" w:leader="dot"/>
            </w:tabs>
          </w:pPr>
          <w:r>
            <w:t xml:space="default">4.1 DISEÑO DE LA VALIDACIÓN</w:t>
            <w:tab/>
            <w:t xml:space="preserve">50</w:t>
          </w:r>
        </w:p>
        <w:p>
          <w:pPr>
            <w:pStyle w:val="TOC2"/>
            <w:tabs>
              <w:tab w:val="clear" w:pos="8786"/>
              <w:tab w:val="right" w:pos="9360" w:leader="dot"/>
            </w:tabs>
          </w:pPr>
          <w:r>
            <w:t xml:space="default">4.2 PRUEBAS FUNCIONALES</w:t>
            <w:tab/>
            <w:t xml:space="preserve">51</w:t>
          </w:r>
        </w:p>
        <w:p>
          <w:pPr>
            <w:pStyle w:val="TOC2"/>
            <w:tabs>
              <w:tab w:val="clear" w:pos="8786"/>
              <w:tab w:val="right" w:pos="9360" w:leader="dot"/>
            </w:tabs>
          </w:pPr>
          <w:r>
            <w:t xml:space="default">4.3 TIEMPO DE REGISTRO DE PEDIDOS</w:t>
            <w:tab/>
            <w:t xml:space="preserve">54</w:t>
          </w:r>
        </w:p>
        <w:p>
          <w:pPr>
            <w:pStyle w:val="TOC3"/>
            <w:tabs>
              <w:tab w:val="clear" w:pos="8546"/>
              <w:tab w:val="right" w:pos="9360" w:leader="dot"/>
            </w:tabs>
          </w:pPr>
          <w:r>
            <w:t xml:space="default">4.3.1 Estabilidad del tiempo de registro.</w:t>
            <w:tab/>
            <w:t xml:space="preserve">56</w:t>
          </w:r>
        </w:p>
        <w:p>
          <w:pPr>
            <w:pStyle w:val="TOC3"/>
            <w:tabs>
              <w:tab w:val="clear" w:pos="8546"/>
              <w:tab w:val="right" w:pos="9360" w:leader="dot"/>
            </w:tabs>
          </w:pPr>
          <w:r>
            <w:t xml:space="default">4.3.2 Efecto del medio de entrega del soporte.</w:t>
            <w:tab/>
            <w:t xml:space="preserve">56</w:t>
          </w:r>
        </w:p>
        <w:p>
          <w:pPr>
            <w:pStyle w:val="TOC2"/>
            <w:tabs>
              <w:tab w:val="clear" w:pos="8786"/>
              <w:tab w:val="right" w:pos="9360" w:leader="dot"/>
            </w:tabs>
          </w:pPr>
          <w:r>
            <w:t xml:space="default">4.4 TIEMPO DE CIERRE DE CAJA</w:t>
            <w:tab/>
            <w:t xml:space="preserve">57</w:t>
          </w:r>
        </w:p>
        <w:p>
          <w:pPr>
            <w:pStyle w:val="TOC2"/>
            <w:tabs>
              <w:tab w:val="clear" w:pos="8786"/>
              <w:tab w:val="right" w:pos="9360" w:leader="dot"/>
            </w:tabs>
          </w:pPr>
          <w:r>
            <w:t xml:space="default">4.5 TRAZABILIDAD DE LOS PEDIDOS</w:t>
            <w:tab/>
            <w:t xml:space="preserve">58</w:t>
          </w:r>
        </w:p>
        <w:p>
          <w:pPr>
            <w:pStyle w:val="TOC3"/>
            <w:tabs>
              <w:tab w:val="clear" w:pos="8546"/>
              <w:tab w:val="right" w:pos="9360" w:leader="dot"/>
            </w:tabs>
          </w:pPr>
          <w:r>
            <w:t xml:space="default">4.5.1 Confusiones de pedidos.</w:t>
            <w:tab/>
            <w:t xml:space="preserve">58</w:t>
          </w:r>
        </w:p>
        <w:p>
          <w:pPr>
            <w:pStyle w:val="TOC3"/>
            <w:tabs>
              <w:tab w:val="clear" w:pos="8546"/>
              <w:tab w:val="right" w:pos="9360" w:leader="dot"/>
            </w:tabs>
          </w:pPr>
          <w:r>
            <w:t xml:space="default">4.5.2 Localización de pedidos.</w:t>
            <w:tab/>
            <w:t xml:space="preserve">59</w:t>
          </w:r>
        </w:p>
        <w:p>
          <w:pPr>
            <w:pStyle w:val="TOC2"/>
            <w:tabs>
              <w:tab w:val="clear" w:pos="8786"/>
              <w:tab w:val="right" w:pos="9360" w:leader="dot"/>
            </w:tabs>
          </w:pPr>
          <w:r>
            <w:t xml:space="default">4.6 SATISFACCIÓN DEL USUARIO</w:t>
            <w:tab/>
            <w:t xml:space="preserve">59</w:t>
          </w:r>
        </w:p>
        <w:p>
          <w:pPr>
            <w:pStyle w:val="TOC2"/>
            <w:tabs>
              <w:tab w:val="clear" w:pos="8786"/>
              <w:tab w:val="right" w:pos="9360" w:leader="dot"/>
            </w:tabs>
          </w:pPr>
          <w:r>
            <w:t xml:space="default">4.7 ANÁLISIS DE RESULTADOS Y CUMPLIMIENTO DEL OBJETIVO</w:t>
            <w:tab/>
            <w:t xml:space="preserve">60</w:t>
          </w:r>
        </w:p>
        <w:p>
          <w:pPr>
            <w:pStyle w:val="TOC1"/>
            <w:tabs>
              <w:tab w:val="clear" w:pos="9026"/>
              <w:tab w:val="right" w:pos="9360" w:leader="dot"/>
            </w:tabs>
          </w:pPr>
          <w:r>
            <w:t xml:space="default">5. CONCLUSIONES</w:t>
            <w:tab/>
            <w:t xml:space="preserve">63</w:t>
          </w:r>
        </w:p>
        <w:p>
          <w:pPr>
            <w:pStyle w:val="TOC1"/>
            <w:tabs>
              <w:tab w:val="clear" w:pos="9026"/>
              <w:tab w:val="right" w:pos="9360" w:leader="dot"/>
            </w:tabs>
          </w:pPr>
          <w:r>
            <w:t xml:space="default">6. RECOMENDACIONES</w:t>
            <w:tab/>
            <w:t xml:space="preserve">64</w:t>
          </w:r>
        </w:p>
        <w:p>
          <w:pPr>
            <w:pStyle w:val="TOC1"/>
            <w:tabs>
              <w:tab w:val="clear" w:pos="9026"/>
              <w:tab w:val="right" w:pos="9360" w:leader="dot"/>
            </w:tabs>
          </w:pPr>
          <w:r>
            <w:t xml:space="default">BIBLIOGRAFÍA</w:t>
            <w:tab/>
            <w:t xml:space="preserve">66</w:t>
          </w:r>
        </w:p>
        <w:p>
          <w:pPr>
            <w:pStyle w:val="TOC1"/>
            <w:tabs>
              <w:tab w:val="clear" w:pos="9026"/>
              <w:tab w:val="right" w:pos="9360" w:leader="dot"/>
            </w:tabs>
          </w:pPr>
          <w:r>
            <w:t xml:space="default">ANEXOS</w:t>
            <w:tab/>
            <w:t xml:space="preserve">70</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15</w:t>
          </w:r>
        </w:p>
        <w:p>
          <w:pPr>
            <w:pStyle w:val="TOC1"/>
            <w:tabs>
              <w:tab w:val="clear" w:pos="9026"/>
              <w:tab w:val="right" w:pos="9360" w:leader="dot"/>
            </w:tabs>
          </w:pPr>
          <w:r>
            <w:t xml:space="default">Tabla 2. Indicadores clave de desempeño (KPI)</w:t>
            <w:tab/>
            <w:t xml:space="preserve">20</w:t>
          </w:r>
        </w:p>
        <w:p>
          <w:pPr>
            <w:pStyle w:val="TOC1"/>
            <w:tabs>
              <w:tab w:val="clear" w:pos="9026"/>
              <w:tab w:val="right" w:pos="9360" w:leader="dot"/>
            </w:tabs>
          </w:pPr>
          <w:r>
            <w:t xml:space="default">Tabla 3. Matriz de requerimientos funcionales y no funcionales</w:t>
            <w:tab/>
            <w:t xml:space="preserve">25</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38</w:t>
          </w:r>
        </w:p>
        <w:p>
          <w:pPr>
            <w:pStyle w:val="TOC1"/>
            <w:tabs>
              <w:tab w:val="clear" w:pos="9026"/>
              <w:tab w:val="right" w:pos="9360" w:leader="dot"/>
            </w:tabs>
          </w:pPr>
          <w:r>
            <w:t xml:space="default">Tabla 8. Controles de seguridad y protección de datos del prototipo</w:t>
            <w:tab/>
            <w:t xml:space="preserve">47</w:t>
          </w:r>
        </w:p>
        <w:p>
          <w:pPr>
            <w:pStyle w:val="TOC1"/>
            <w:tabs>
              <w:tab w:val="clear" w:pos="9026"/>
              <w:tab w:val="right" w:pos="9360" w:leader="dot"/>
            </w:tabs>
          </w:pPr>
          <w:r>
            <w:t xml:space="default">Tabla 9. Instrumentos aplicados en la validación del prototipo</w:t>
            <w:tab/>
            <w:t xml:space="preserve">50</w:t>
          </w:r>
        </w:p>
        <w:p>
          <w:pPr>
            <w:pStyle w:val="TOC1"/>
            <w:tabs>
              <w:tab w:val="clear" w:pos="9026"/>
              <w:tab w:val="right" w:pos="9360" w:leader="dot"/>
            </w:tabs>
          </w:pPr>
          <w:r>
            <w:t xml:space="default">Tabla 10. Resultados de los casos de prueba funcional</w:t>
            <w:tab/>
            <w:t xml:space="preserve">51</w:t>
          </w:r>
        </w:p>
        <w:p>
          <w:pPr>
            <w:pStyle w:val="TOC1"/>
            <w:tabs>
              <w:tab w:val="clear" w:pos="9026"/>
              <w:tab w:val="right" w:pos="9360" w:leader="dot"/>
            </w:tabs>
          </w:pPr>
          <w:r>
            <w:t xml:space="default">Tabla 11. Tiempo de registro de un pedido: línea base vs. prototipo</w:t>
            <w:tab/>
            <w:t xml:space="preserve">54</w:t>
          </w:r>
        </w:p>
        <w:p>
          <w:pPr>
            <w:pStyle w:val="TOC1"/>
            <w:tabs>
              <w:tab w:val="clear" w:pos="9026"/>
              <w:tab w:val="right" w:pos="9360" w:leader="dot"/>
            </w:tabs>
          </w:pPr>
          <w:r>
            <w:t xml:space="default">Tabla 12. Medio de entrega del soporte al cliente y su efecto en el tiempo de registro</w:t>
            <w:tab/>
            <w:t xml:space="preserve">56</w:t>
          </w:r>
        </w:p>
        <w:p>
          <w:pPr>
            <w:pStyle w:val="TOC1"/>
            <w:tabs>
              <w:tab w:val="clear" w:pos="9026"/>
              <w:tab w:val="right" w:pos="9360" w:leader="dot"/>
            </w:tabs>
          </w:pPr>
          <w:r>
            <w:t xml:space="default">Tabla 13. Cierres de caja cronometrados con el prototipo</w:t>
            <w:tab/>
            <w:t xml:space="preserve">57</w:t>
          </w:r>
        </w:p>
        <w:p>
          <w:pPr>
            <w:pStyle w:val="TOC1"/>
            <w:tabs>
              <w:tab w:val="clear" w:pos="9026"/>
              <w:tab w:val="right" w:pos="9360" w:leader="dot"/>
            </w:tabs>
          </w:pPr>
          <w:r>
            <w:t xml:space="default">Tabla 14. Causas de las confusiones de pedidos: línea base vs. prototipo</w:t>
            <w:tab/>
            <w:t xml:space="preserve">58</w:t>
          </w:r>
        </w:p>
        <w:p>
          <w:pPr>
            <w:pStyle w:val="TOC1"/>
            <w:tabs>
              <w:tab w:val="clear" w:pos="9026"/>
              <w:tab w:val="right" w:pos="9360" w:leader="dot"/>
            </w:tabs>
          </w:pPr>
          <w:r>
            <w:t xml:space="default">Tabla 15. Resultados del cuestionario SUS por participante</w:t>
            <w:tab/>
            <w:t xml:space="preserve">59</w:t>
          </w:r>
        </w:p>
        <w:p>
          <w:pPr>
            <w:pStyle w:val="TOC1"/>
            <w:tabs>
              <w:tab w:val="clear" w:pos="9026"/>
              <w:tab w:val="right" w:pos="9360" w:leader="dot"/>
            </w:tabs>
          </w:pPr>
          <w:r>
            <w:t xml:space="default">Tabla 16. Cumplimiento de los indicadores del tercer objetivo</w:t>
            <w:tab/>
            <w:t xml:space="preserve">60</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23</w:t>
          </w:r>
        </w:p>
        <w:p>
          <w:pPr>
            <w:pStyle w:val="TOC1"/>
            <w:tabs>
              <w:tab w:val="clear" w:pos="9026"/>
              <w:tab w:val="right" w:pos="9360" w:leader="dot"/>
            </w:tabs>
          </w:pPr>
          <w:r>
            <w:t xml:space="default">Figura 2. Diagrama de casos de uso — Lavaseco La Manuelita</w:t>
            <w:tab/>
            <w:t xml:space="preserve">25</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38</w:t>
          </w:r>
        </w:p>
        <w:p>
          <w:pPr>
            <w:pStyle w:val="TOC1"/>
            <w:tabs>
              <w:tab w:val="clear" w:pos="9026"/>
              <w:tab w:val="right" w:pos="9360" w:leader="dot"/>
            </w:tabs>
          </w:pPr>
          <w:r>
            <w:t xml:space="preserve">Figura 7. Proceso operativo con el prototipo (BPMN 2.0) — Lavaseco La Manuelita</w:t>
            <w:tab/>
            <w:t xml:space="preserve">40</w:t>
          </w:r>
        </w:p>
        <w:p>
          <w:pPr>
            <w:pStyle w:val="TOC1"/>
            <w:tabs>
              <w:tab w:val="clear" w:pos="9026"/>
              <w:tab w:val="right" w:pos="9360" w:leader="dot"/>
            </w:tabs>
          </w:pPr>
          <w:r>
            <w:t xml:space="default">Figura 8. Diagrama de estados del pedido — Lavaseco La Manuelita</w:t>
            <w:tab/>
            <w:t xml:space="preserve">41</w:t>
          </w:r>
        </w:p>
        <w:p>
          <w:pPr>
            <w:pStyle w:val="TOC1"/>
            <w:tabs>
              <w:tab w:val="clear" w:pos="9026"/>
              <w:tab w:val="right" w:pos="9360" w:leader="dot"/>
            </w:tabs>
          </w:pPr>
          <w:r>
            <w:t xml:space="default">Figura 9. Acceso al sistema — portal de empleado y panel de gerente (RNF04)</w:t>
            <w:tab/>
            <w:t xml:space="preserve">41</w:t>
          </w:r>
        </w:p>
        <w:p>
          <w:pPr>
            <w:pStyle w:val="TOC1"/>
            <w:tabs>
              <w:tab w:val="clear" w:pos="9026"/>
              <w:tab w:val="right" w:pos="9360" w:leader="dot"/>
            </w:tabs>
          </w:pPr>
          <w:r>
            <w:t xml:space="default">Figura 10. Pedido rápido — paso 1: datos del cliente (RF01)</w:t>
            <w:tab/>
            <w:t xml:space="preserve">42</w:t>
          </w:r>
        </w:p>
        <w:p>
          <w:pPr>
            <w:pStyle w:val="TOC1"/>
            <w:tabs>
              <w:tab w:val="clear" w:pos="9026"/>
              <w:tab w:val="right" w:pos="9360" w:leader="dot"/>
            </w:tabs>
          </w:pPr>
          <w:r>
            <w:t xml:space="default">Figura 11. Panel financiero — indicadores del día y calendario de movimientos (RF09 y reportería adicional)</w:t>
            <w:tab/>
            <w:t xml:space="preserve">42</w:t>
          </w:r>
        </w:p>
        <w:p>
          <w:pPr>
            <w:pStyle w:val="TOC1"/>
            <w:tabs>
              <w:tab w:val="clear" w:pos="9026"/>
              <w:tab w:val="right" w:pos="9360" w:leader="dot"/>
            </w:tabs>
          </w:pPr>
          <w:r>
            <w:t xml:space="default">Figura 12. Cierre de caja en el panel financiero, con ganancia neta y efectivo en caja separados (RF09)</w:t>
            <w:tab/>
            <w:t xml:space="preserve">43</w:t>
          </w:r>
        </w:p>
        <w:p>
          <w:pPr>
            <w:pStyle w:val="TOC1"/>
            <w:tabs>
              <w:tab w:val="clear" w:pos="9026"/>
              <w:tab w:val="right" w:pos="9360" w:leader="dot"/>
            </w:tabs>
          </w:pPr>
          <w:r>
            <w:t xml:space="default">Figura 13. Pedidos con más de tres meses en piso (RF11)</w:t>
            <w:tab/>
            <w:t xml:space="preserve">44</w:t>
          </w:r>
        </w:p>
        <w:p>
          <w:pPr>
            <w:pStyle w:val="TOC1"/>
            <w:tabs>
              <w:tab w:val="clear" w:pos="9026"/>
              <w:tab w:val="right" w:pos="9360" w:leader="dot"/>
            </w:tabs>
          </w:pPr>
          <w:r>
            <w:t xml:space="default">Figura 14. Inventario en piso, con filtros y acceso a escaneo de código de barras (RF06, RF03)</w:t>
            <w:tab/>
            <w:t xml:space="preserve">44</w:t>
          </w:r>
        </w:p>
        <w:p>
          <w:pPr>
            <w:pStyle w:val="TOC1"/>
            <w:tabs>
              <w:tab w:val="clear" w:pos="9026"/>
              <w:tab w:val="right" w:pos="9360" w:leader="dot"/>
            </w:tabs>
          </w:pPr>
          <w:r>
            <w:t xml:space="default">Figura 15. Detalle de pedido — prendas, abono y cambio de estado (RF03, RF04)</w:t>
            <w:tab/>
            <w:t xml:space="preserve">45</w:t>
          </w:r>
        </w:p>
        <w:p>
          <w:pPr>
            <w:pStyle w:val="TOC1"/>
            <w:tabs>
              <w:tab w:val="clear" w:pos="9026"/>
              <w:tab w:val="right" w:pos="9360" w:leader="dot"/>
            </w:tabs>
          </w:pPr>
          <w:r>
            <w:t xml:space="default">Figura 16. Recibo con código de barras generado por el sistema (vista imprimible) — soporte de trazabilidad de la marquilla</w:t>
            <w:tab/>
            <w:t xml:space="preserve">45</w:t>
          </w:r>
        </w:p>
        <w:p>
          <w:pPr>
            <w:pStyle w:val="TOC1"/>
            <w:tabs>
              <w:tab w:val="clear" w:pos="9026"/>
              <w:tab w:val="right" w:pos="9360" w:leader="dot"/>
            </w:tabs>
          </w:pPr>
          <w:r>
            <w:t xml:space="preserve">Figura 17. Panel remoto de la gerente: (a) con conexión y (b) sin conexión</w:t>
            <w:tab/>
            <w:t xml:space="preserve">46</w:t>
          </w:r>
        </w:p>
        <w:p>
          <w:pPr>
            <w:pStyle w:val="TOC1"/>
            <w:tabs>
              <w:tab w:val="clear" w:pos="9026"/>
              <w:tab w:val="right" w:pos="9360" w:leader="dot"/>
            </w:tabs>
          </w:pPr>
          <w:r>
            <w:t xml:space="default">Figura 19. Tiempo de registro y de cierre de caja: línea base vs. prototipo, frente a la meta de reducción del 40 %</w:t>
            <w:tab/>
            <w:t xml:space="preserve">56</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71</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72</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73</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74</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75</w:t>
          </w:r>
        </w:p>
        <w:p>
          <w:pPr>
            <w:pStyle w:val="TOC1"/>
            <w:tabs>
              <w:tab w:val="clear" w:pos="9026"/>
              <w:tab w:val="right" w:pos="9360" w:leader="dot"/>
            </w:tabs>
          </w:pPr>
          <w:r>
            <w:t xml:space="default">Anexo F. Registro técnico de verificaciones y correcciones durante la construcción del prototipo</w:t>
            <w:tab/>
            <w:t xml:space="preserve">77</w:t>
          </w:r>
        </w:p>
        <w:p>
          <w:pPr>
            <w:pStyle w:val="TOC1"/>
            <w:tabs>
              <w:tab w:val="clear" w:pos="9026"/>
              <w:tab w:val="right" w:pos="9360" w:leader="dot"/>
            </w:tabs>
          </w:pPr>
          <w:r>
            <w:t xml:space="default">Anexo G. Cuestionario SUS y preguntas abiertas aplicados a los usuarios del prototipo</w:t>
            <w:tab/>
            <w:t xml:space="preserve">78</w:t>
          </w:r>
        </w:p>
        <w:p>
          <w:pPr>
            <w:pStyle w:val="TOC1"/>
            <w:tabs>
              <w:tab w:val="clear" w:pos="9026"/>
              <w:tab w:val="right" w:pos="9360" w:leader="dot"/>
            </w:tabs>
          </w:pPr>
          <w:r>
            <w:t xml:space="default">Anexo H. Bitácora de confusiones de pedidos registradas durante la validación (8 al 30 de septiembre de 2026)</w:t>
            <w:tab/>
            <w:t xml:space="preserve">79</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[15], [7].</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[16], [15], [7].</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[32].</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[26].</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[26].</w:t>
      </w:r>
      <w:r>
        <w:t xml:space="preserve"/>
      </w:r>
    </w:p>
    <w:p>
      <w:pPr>
        <w:pStyle w:val="Cuerpo"/>
      </w:pPr>
      <w:r>
        <w:rPr>
          <w:b/>
          <w:bCs/>
        </w:rPr>
        <w:t xml:space="preserve">SYSTEM USABILITY SCALE (SUS): cuestionario estandarizado de diez afirmaciones, con escala de 1 a 5, que da un puntaje de usabilidad percibida entre 0 y 100 [30], [31].</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[29].</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[15], [7].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[16], [15].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Cuerpo"/>
      </w:pPr>
      <w:r>
        <w:t xml:space="preserve">Nota sobre la formulación. Una versión anterior cambió la redacción a «mejore la trazabilidad»; se restituye la formulación original: reducir tiempos y disminuir las confusiones de pedidos. El numeral 4.5 reporta que el tiempo de resolución bajó y que las confusiones de clasificación y archivo pasaron de 8 a 2, pero que la frecuencia semanal no disminuyó de forma demostrable. El tercer objetivo específico evalúa, además, la trazabilidad (pedido en un solo registro) y la satisfacción.</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[6], [21]. Lo que se construyó aquí es un sistema de procesamiento de transacciones (OLTP), hecho para operaciones cortas y frecuentes, como registrar un pedido o un pago [20], [22], [23].</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[16], [15]. Aquí se aplica con una arquitectura local-first autoalojada, en la que los datos están en el equipo del usuario y la nube cumple funciones complementarias [7]. El servidor y la base de datos funcionan en un computador del local, y eso da la persistencia local [16], [24], [25].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[26]. La parte en la nube usa servicios administrados, en la línea de los enfoques NoOps, serverless y cloud-native, para no tener que administrar servidores [17], [18], [27], [28].</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[29], y se mide con la System Usability Scale (SUS) [30], [31]. Los requerimientos se verifican con pruebas de caja negra, que comparan el resultado obtenido con el esperado sin revisar el código [32].</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[7] describen esa idea, que el usuario trabaje sobre sus datos en su propio equipo y la nube quede para respaldo y colaboración, y Klokmose et al. [15] y Haas et al. [16] la llevan a aplicaciones concretas. No se montó CRDT [7] ni el estado relacional reactivo de Litt et al. [26]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[17], [18], [20], [33], [23]. Para evaluar el prototipo se tomó de DeLone y McLean la calidad del sistema, el uso y la satisfacción [6], [34], se midió la usabilidad con la SUS de Brooke [30], leída con las escalas de Bangor et al. [31] y Sauro y Lewis [29], y se armaron los casos de prueba con la ISO/IEC/IEEE 29119 [32], como pide Hevner et al. [8]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[39]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[41]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[43]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[44].</w:t>
      </w:r>
    </w:p>
    <w:p>
      <w:pPr>
        <w:pStyle w:val="Cuerpo"/>
      </w:pPr>
      <w:r>
        <w:t xml:space="preserve">En Colombia, el artículo 15 de la Constitución Política reconoce el derecho de toda persona a conocer, actualizar y rectificar la información que se haya recogido sobre ella [45].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[46].</w:t>
      </w:r>
    </w:p>
    <w:p>
      <w:pPr>
        <w:pStyle w:val="Cuerpo"/>
      </w:pPr>
      <w:r>
        <w:t xml:space="preserve">El Decreto 1377 de 2013 reglamenta la autorización y las políticas de tratamiento de datos [47]. De estas normas salen el requisito RNF04 y las medidas del numeral 3.5. La Ley 527 de 1999 da validez a los mensajes de datos. Su artículo 10 les reconoce fuerza probatoria y su artículo 12 dice cómo deben conservarse [48].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[49].</w:t>
      </w:r>
    </w:p>
    <w:p>
      <w:pPr>
        <w:pStyle w:val="Cuerpo"/>
      </w:pPr>
      <w:r>
        <w:t xml:space="preserve">El software se desarrolló de forma iterativa e incremental, con ingeniería de requisitos según la norma ISO/IEC/IEEE 29148 [50].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1. Proceso operativo actual (notación BPMN 2.0) — Lavaseco La Manuelita. Elaboración propia. Pools: Cliente y Lavaseco (carriles E1 y E2). El pool Lavaseco inicia con un evento de mensaje (círculo con sobre) en el carril de E1. Los diez pasos del numeral 2.3 están numerados. La compuerta «¿Cuadra?» tiene salida sí (archivo) y no (reconteo). El carril de E2 termina en evento de fin. La flecha punteada es un flujo de mensaje.</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En esa hoja la columna de empleado quedó vacía. El numeral 1.6 registra que E1 hizo todos los registros de la línea base; E2 hizo los cierres, no el registro. En 5 pares del mismo día los intervalos se solapan: un registro quedaba abierto mientras se atendía a otro cliente. El 7,32 min es tiempo transcurrido, con esperas e interrupciones, no minutos exclusivos de escritura continua. Por eso 80 × 7,32 min ≈ 9,8 h no es una jornada de 9,8 horas de trabajo ininterrumpido de E1: parte de esos intervalos ocurre en paralelo.</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7. Proceso operativo con el prototipo (notación BPMN 2.0) — Lavaseco La Manuelita. Elaboración propia. Pools distintos: Cliente, Lavaseco (carriles E1 y E2) y Gerente remota, unidos por flujos de mensaje (flecha punteada). El pool Lavaseco inicia con un evento de mensaje en el carril de E1. El panel no escribe.</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16.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17.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real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19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19</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[30], un cuestionario de 10 afirmaciones con escala de 1 a 5 que da un puntaje de 0 a 100. Un puntaje de 68 es el promedio, y uno de 80.3 o más se considera excelente [31], [29].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La suma 80 × 7,32 min ≈ 9,8 h no se lee como horas exclusivas de E1: el numeral 2.6 documenta que E1 fue la única registradora de la línea base y que, en 5 pares del mismo día, los intervalos se solapan porque el cronómetro seguía corriendo mientras se atendía a otro cliente.</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F.3),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IEEE, numerada por orden de primera aparición en el texto a partir de la introducción. Las citas múltiples se escriben [n], [m]. La plantilla del programa pide además organización alfabética; se prioriza IEEE.</w:t>
      </w:r>
    </w:p>
    <w:p>
      <w:pPr>
        <w:pStyle w:val="Referencia"/>
      </w:pPr>
      <w:r>
        <w:t xml:space="preserve">[1] Departamento Administrativo Nacional de Estadística (DANE), “Encuesta de Micronegocios (EMICRON): boletín técnico 2024,” Bogotá, Colombia, 2025. [Online]. Available: https://www.dane.gov.co/files/operaciones/EMICRON/bol-EMICRON2024.pdf</w:t>
      </w:r>
    </w:p>
    <w:p>
      <w:pPr>
        <w:pStyle w:val="Referencia"/>
      </w:pPr>
      <w:r>
        <w:t xml:space="preserve">[2] C. Picón, R. C. Díaz Alonzo, A. Dávila, and D. Puello Cabarcas, “Digitalization and post-pandemic recovery of micro-businesses in Colombia,” Procedia Comput. Sci., vol. 231, pp. 566–570, 2024, doi: 10.1016/j.procs.2023.12.249.</w:t>
      </w:r>
    </w:p>
    <w:p>
      <w:pPr>
        <w:pStyle w:val="Referencia"/>
      </w:pPr>
      <w:r>
        <w:t xml:space="preserve">[3] R. Eller, P. Alford, A. Kallmünzer, and M. Peters, “Antecedents, consequences, and challenges of small and medium-sized enterprise digitalization,” J. Bus. Res., vol. 112, pp. 119–127, 2020, doi: 10.1016/j.jbusres.2020.03.004.</w:t>
      </w:r>
    </w:p>
    <w:p>
      <w:pPr>
        <w:pStyle w:val="Referencia"/>
      </w:pPr>
      <w:r>
        <w:t xml:space="preserve">[4] J. Hirs and F. Vargas, “Prioridades para la digitalización empresarial en América Latina y el Caribe,” Banco Interamericano de Desarrollo, Washington, DC, USA, 2023, doi: 10.18235/0005166.</w:t>
      </w:r>
    </w:p>
    <w:p>
      <w:pPr>
        <w:pStyle w:val="Referencia"/>
      </w:pPr>
      <w:r>
        <w:t xml:space="preserve">[5] Q. Fu, G. L. Nicholson, and J. M. Easton, “Understanding data quality in a data-driven industry context,” J. Ind. Inf. Integr., vol. 42, Art. no. 100729, 2024, doi: 10.1016/j.jii.2024.100729.</w:t>
      </w:r>
    </w:p>
    <w:p>
      <w:pPr>
        <w:pStyle w:val="Referencia"/>
      </w:pPr>
      <w:r>
        <w:t xml:space="preserve">[6] A. Lutfi, “Factors affecting the success of accounting information system from the lens of DeLone and McLean IS model,” Int. J. Inf. Manage. Data Insights, vol. 3, no. 2, Art. no. 100202, 2023, doi: 10.1016/j.jjimei.2023.100202.</w:t>
      </w:r>
    </w:p>
    <w:p>
      <w:pPr>
        <w:pStyle w:val="Referencia"/>
      </w:pPr>
      <w:r>
        <w:t xml:space="preserve">[7] M. Kleppmann, A. Wiggins, P. van Hardenberg, and M. McGranaghan, “Local-first software: You own your data, in spite of the cloud,” in Proc. 2019 ACM SIGPLAN Onward!, New York, NY, USA, 2019, pp. 154–178, doi: 10.1145/3359591.3359737.</w:t>
      </w:r>
    </w:p>
    <w:p>
      <w:pPr>
        <w:pStyle w:val="Referencia"/>
      </w:pPr>
      <w:r>
        <w:t xml:space="preserve">[8] A. R. Hevner, S. T. March, J. Park, and S. Ram, “Design science in information systems research,” MIS Q., vol. 28, no. 1, pp. 75–105, 2004, doi: 10.2307/25148625.</w:t>
      </w:r>
    </w:p>
    <w:p>
      <w:pPr>
        <w:pStyle w:val="Referencia"/>
      </w:pPr>
      <w:r>
        <w:t xml:space="preserve">[9] K. Peffers, T. Tuunanen, M. A. Rothenberger, and S. Chatterjee, “A design science research methodology for information systems research,” J. Manage. Inf. Syst., vol. 24, no. 3, pp. 45–77, 2007, doi: 10.2753/MIS0742-1222240302.</w:t>
      </w:r>
    </w:p>
    <w:p>
      <w:pPr>
        <w:pStyle w:val="Referencia"/>
      </w:pPr>
      <w:r>
        <w:t xml:space="preserve">[10] R. L. Portase, R. Tolas, and R. Potolea, “SmartLaundry: A real-time system for public laundry allocation in smart cities,” Sensors, vol. 24, no. 7, Art. no. 2159, 2024, doi: 10.3390/s24072159.</w:t>
      </w:r>
    </w:p>
    <w:p>
      <w:pPr>
        <w:pStyle w:val="Referencia"/>
      </w:pPr>
      <w:r>
        <w:t xml:space="preserve">[11] C. Mutia, F. Fauziah, I. Meiditra, F. Yuda, and R. Rahmansyah, “Designing a web-based laundry service application for Strala Laundry,” J-INTECH, vol. 13, no. 1, pp. 78–85, 2025, doi: 10.32664/j-intech.v13i01.1820.</w:t>
      </w:r>
    </w:p>
    <w:p>
      <w:pPr>
        <w:pStyle w:val="Referencia"/>
      </w:pPr>
      <w:r>
        <w:t xml:space="preserve">[12] Y. E. Achyani, R. Aulianita, and A. Mukhayaroh, “Web-based laundry service information system using Rapid Application Development method,” Paradigma: J. Komput. Informatika, vol. 26, no. 1, pp. 17–23, 2024, doi: 10.31294/p.v26i1.3231.</w:t>
      </w:r>
    </w:p>
    <w:p>
      <w:pPr>
        <w:pStyle w:val="Referencia"/>
      </w:pPr>
      <w:r>
        <w:t xml:space="preserve">[13] N. Muhammad and M. N. N. Alfarid, “Implementation of web-based real-time laundry status tracking system,” J. Inf. Technol. Its Utilization, vol. 8, no. 2, pp. 45–51, 2025, doi: 10.56873/jitu.8.2.6039.</w:t>
      </w:r>
    </w:p>
    <w:p>
      <w:pPr>
        <w:pStyle w:val="Referencia"/>
      </w:pPr>
      <w:r>
        <w:t xml:space="preserve">[14] N. F. Rahmadani et al., “Design, development, and implementation of a desktop-based laundry management application for optimizing operational efficiency,” TIN: Terapan Informatika Nusantara, vol. 5, no. 9, pp. 504–518, 2025, doi: 10.47065/tin.v5i9.7045.</w:t>
      </w:r>
    </w:p>
    <w:p>
      <w:pPr>
        <w:pStyle w:val="Referencia"/>
      </w:pPr>
      <w:r>
        <w:t xml:space="preserve">[15] C. N. Klokmose, J. R. Eagan, and P. van Hardenberg, “MyWebstrates: Webstrates as local-first software,” in Proc. 37th Annu. ACM Symp. User Interface Softw. Technol., New York, NY, USA, 2024, doi: 10.1145/3654777.3676445.</w:t>
      </w:r>
    </w:p>
    <w:p>
      <w:pPr>
        <w:pStyle w:val="Referencia"/>
      </w:pPr>
      <w:r>
        <w:t xml:space="preserve">[16] J. Haas, R. Mogk, E. Yanakieva, A. Bieniusa, and M. Mezini, “LoRe: A programming model for verifiably safe local-first software,” ACM Trans. Program. Lang. Syst., vol. 46, no. 1, Art. no. 2, 2024, doi: 10.1145/3633769.</w:t>
      </w:r>
    </w:p>
    <w:p>
      <w:pPr>
        <w:pStyle w:val="Referencia"/>
      </w:pPr>
      <w:r>
        <w:t xml:space="preserve">[17] J. Wen, Z. Chen, X. Jin, and X. Liu, “Rise of the planet of serverless computing: A systematic review,” ACM Trans. Softw. Eng. Methodol., vol. 32, no. 5, Art. no. 131, 2023, doi: 10.1145/3579643.</w:t>
      </w:r>
    </w:p>
    <w:p>
      <w:pPr>
        <w:pStyle w:val="Referencia"/>
      </w:pPr>
      <w:r>
        <w:t xml:space="preserve">[18] T. Stefanac and R. Colomo-Palacios, “NoOps: A multivocal literature review,” Procedia Comput. Sci., vol. 196, pp. 167–174, 2022, doi: 10.1016/j.procs.2021.12.002.</w:t>
      </w:r>
    </w:p>
    <w:p>
      <w:pPr>
        <w:pStyle w:val="Referencia"/>
      </w:pPr>
      <w:r>
        <w:t xml:space="preserve">[19] Consejo Nacional de Política Económica y Social (CONPES), “Documento CONPES 3975: Política nacional para la transformación digital e inteligencia artificial,” Departamento Nacional de Planeación, Bogotá, Colombia, 2019.</w:t>
      </w:r>
    </w:p>
    <w:p>
      <w:pPr>
        <w:pStyle w:val="Referencia"/>
      </w:pPr>
      <w:r>
        <w:t xml:space="preserve">[20] H. Dong, C. Zhang, G. Li, and H. Zhang, “Cloud-native databases: A survey,” IEEE Trans. Knowl. Data Eng., vol. 36, no. 12, pp. 7772–7791, 2024, doi: 10.1109/TKDE.2024.3397508.</w:t>
      </w:r>
    </w:p>
    <w:p>
      <w:pPr>
        <w:pStyle w:val="Referencia"/>
      </w:pPr>
      <w:r>
        <w:t xml:space="preserve">[21] H. Vo Van, A. M. Sarea, and I. Saleh, “Accounting information systems and organizational performance in the cloud computing era,” Sustainability Accounting, Manage. Policy J., 2024, doi: 10.1108/SAMPJ-01-2024-0044.</w:t>
      </w:r>
    </w:p>
    <w:p>
      <w:pPr>
        <w:pStyle w:val="Referencia"/>
      </w:pPr>
      <w:r>
        <w:t xml:space="preserve">[22] T. Shioi, T. Kambayashi, S. Arakawa, R. Kurosawa, S. Hikida, and H. Yokota, “Read-safe snapshots: An abort/wait-free serializable read method for read-only transactions on mixed OLTP/OLAP workloads,” Inf. Syst., vol. 124, Art. no. 102385, 2024, doi: 10.1016/j.is.2024.102385.</w:t>
      </w:r>
    </w:p>
    <w:p>
      <w:pPr>
        <w:pStyle w:val="Referencia"/>
      </w:pPr>
      <w:r>
        <w:t xml:space="preserve">[23] M. Haubenschild and V. Leis, “OLTP in the cloud: Architectures, tradeoffs, and cost,” VLDB J., vol. 34, no. 4, pp. 1–25, 2025, doi: 10.1007/s00778-025-00913-2.</w:t>
      </w:r>
    </w:p>
    <w:p>
      <w:pPr>
        <w:pStyle w:val="Referencia"/>
      </w:pPr>
      <w:r>
        <w:t xml:space="preserve">[24] C. Feldacker et al., “A community-based, mobile electronic medical record system app for high-quality, integrated antiretroviral therapy in Lilongwe, Malawi,” JMIR Formative Res., vol. 7, Art. no. e48671, 2023, doi: 10.2196/48671.</w:t>
      </w:r>
    </w:p>
    <w:p>
      <w:pPr>
        <w:pStyle w:val="Referencia"/>
      </w:pPr>
      <w:r>
        <w:t xml:space="preserve">[25] E. D. Guyo and T. Hartmann, “Evaluating the efficiency and performance of data persistent systems in managing building and environmental data,” Adv. Eng. Informat., vol. 62, Art. no. 102582, 2024, doi: 10.1016/j.aei.2024.102582.</w:t>
      </w:r>
    </w:p>
    <w:p>
      <w:pPr>
        <w:pStyle w:val="Referencia"/>
      </w:pPr>
      <w:r>
        <w:t xml:space="preserve">[26] G. Litt, N. Schiefer, J. Schickling, and D. Jackson, “Riffle: Reactive relational state for local-first applications,” in Proc. 36th Annu. ACM Symp. User Interface Softw. Technol., New York, NY, USA, 2023, doi: 10.1145/3586183.3606801.</w:t>
      </w:r>
    </w:p>
    <w:p>
      <w:pPr>
        <w:pStyle w:val="Referencia"/>
      </w:pPr>
      <w:r>
        <w:t xml:space="preserve">[27] G. A. S. Cassel et al., “Serverless computing for Internet of Things: A systematic literature review,” Future Gener. Comput. Syst., vol. 128, pp. 299–316, 2022, doi: 10.1016/j.future.2021.10.020.</w:t>
      </w:r>
    </w:p>
    <w:p>
      <w:pPr>
        <w:pStyle w:val="Referencia"/>
      </w:pPr>
      <w:r>
        <w:t xml:space="preserve">[28] S. Deng et al., “Cloud-native computing: A survey from the perspective of services,” Proc. IEEE, vol. 112, no. 1, pp. 12–46, 2024, doi: 10.1109/JPROC.2024.3353855.</w:t>
      </w:r>
    </w:p>
    <w:p>
      <w:pPr>
        <w:pStyle w:val="Referencia"/>
      </w:pPr>
      <w:r>
        <w:t xml:space="preserve">[29] J. Sauro and J. R. Lewis, Quantifying the User Experience: Practical Statistics for User Research, 2nd ed. Cambridge, MA, USA: Morgan Kaufmann, 2016.</w:t>
      </w:r>
    </w:p>
    <w:p>
      <w:pPr>
        <w:pStyle w:val="Referencia"/>
      </w:pPr>
      <w:r>
        <w:t xml:space="preserve">[30] J. Brooke, “SUS: A ‘quick and dirty’ usability scale,” in Usability Evaluation in Industry, P. W. Jordan, B. Thomas, B. A. Weerdmeester, and I. L. McClelland, Eds. London, U.K.: Taylor &amp; Francis, 1996, pp. 189–194.</w:t>
      </w:r>
    </w:p>
    <w:p>
      <w:pPr>
        <w:pStyle w:val="Referencia"/>
      </w:pPr>
      <w:r>
        <w:t xml:space="preserve">[31] A. Bangor, P. Kortum, and J. Miller, “Determining what individual SUS scores mean: Adding an adjective rating scale,” J. Usability Stud., vol. 4, no. 3, pp. 114–123, 2009.</w:t>
      </w:r>
    </w:p>
    <w:p>
      <w:pPr>
        <w:pStyle w:val="Referencia"/>
      </w:pPr>
      <w:r>
        <w:t xml:space="preserve">[32] ISO/IEC/IEEE 29119-1:2022, Software and systems engineering — Software testing — Part 1: General concepts, ISO, Geneva, Switzerland, 2022.</w:t>
      </w:r>
    </w:p>
    <w:p>
      <w:pPr>
        <w:pStyle w:val="Referencia"/>
      </w:pPr>
      <w:r>
        <w:t xml:space="preserve">[33] M. Plazotta and M. Klettke, “Data architectures in cloud environments,” Datenbank-Spektrum, vol. 24, no. 3, pp. 243–247, 2024, doi: 10.1007/s13222-024-00490-5.</w:t>
      </w:r>
    </w:p>
    <w:p>
      <w:pPr>
        <w:pStyle w:val="Referencia"/>
      </w:pPr>
      <w:r>
        <w:t xml:space="preserve">[34] Rulinawaty et al., “Investigating the influence of the updated DeLone and McLean information system (IS) success model on the effectiveness of learning management system (LMS) implementation,” Cogent Educ., vol. 11, no. 1, Art. no. 2365611, 2024, doi: 10.1080/2331186X.2024.2365611.</w:t>
      </w:r>
    </w:p>
    <w:p>
      <w:pPr>
        <w:pStyle w:val="Referencia"/>
      </w:pPr>
      <w:r>
        <w:t xml:space="preserve">[35] G. Vial, “Understanding digital transformation: A review and a research agenda,” J. Strategic Inf. Syst., vol. 28, no. 2, pp. 118–144, 2019, doi: 10.1016/j.jsis.2019.01.003.</w:t>
      </w:r>
    </w:p>
    <w:p>
      <w:pPr>
        <w:pStyle w:val="Referencia"/>
      </w:pPr>
      <w:r>
        <w:t xml:space="preserve">[36] P. C. Verhoef et al., “Digital transformation: A multidisciplinary reflection and research agenda,” J. Bus. Res., vol. 122, pp. 889–901, 2021, doi: 10.1016/j.jbusres.2019.09.022.</w:t>
      </w:r>
    </w:p>
    <w:p>
      <w:pPr>
        <w:pStyle w:val="Referencia"/>
      </w:pPr>
      <w:r>
        <w:t xml:space="preserve">[37] J. A. Marino-Romero, P. R. Palos-Sánchez, and F. Velicia-Martín, “Evolution of digital transformation in SMEs management through a bibliometric analysis,” Technol. Forecasting Social Change, vol. 199, Art. no. 123014, 2024, doi: 10.1016/j.techfore.2023.123014.</w:t>
      </w:r>
    </w:p>
    <w:p>
      <w:pPr>
        <w:pStyle w:val="Referencia"/>
      </w:pPr>
      <w:r>
        <w:t xml:space="preserve">[38] G. H. Sagala and D. Öri, “Toward SMEs digital transformation success: A systematic literature review,” Inf. Syst. e-Bus. Manage., vol. 22, pp. 667–719, 2024, doi: 10.1007/s10257-024-00682-2.</w:t>
      </w:r>
    </w:p>
    <w:p>
      <w:pPr>
        <w:pStyle w:val="Referencia"/>
      </w:pPr>
      <w:r>
        <w:t xml:space="preserve">[39] S. Kraus et al., “Digital transformation in business and management research,” Int. J. Inf. Manage., vol. 63, Art. no. 102466, 2022, doi: 10.1016/j.ijinfomgt.2021.102466.</w:t>
      </w:r>
    </w:p>
    <w:p>
      <w:pPr>
        <w:pStyle w:val="Referencia"/>
      </w:pPr>
      <w:r>
        <w:t xml:space="preserve">[40] I. C. Melo et al., “Sustainable digital transformation in small and medium enterprises (SMEs): A review on performance,” Heliyon, vol. 9, no. 3, Art. no. e13908, 2023, doi: 10.1016/j.heliyon.2023.e13908.</w:t>
      </w:r>
    </w:p>
    <w:p>
      <w:pPr>
        <w:pStyle w:val="Referencia"/>
      </w:pPr>
      <w:r>
        <w:t xml:space="preserve">[41] A. Garzoni, I. De Turi, G. Secundo, and P. Del Vecchio, “Fostering digital transformation of SMEs: A four levels approach,” Manage. Decis., vol. 58, no. 8, pp. 1543–1562, 2020, doi: 10.1108/MD-07-2019-0939.</w:t>
      </w:r>
    </w:p>
    <w:p>
      <w:pPr>
        <w:pStyle w:val="Referencia"/>
      </w:pPr>
      <w:r>
        <w:t xml:space="preserve">[42] M. Saad, “The influence of accounting information system adoption on business performance amid COVID-19,” Comput. Human Behav. Rep., vol. 10, Art. no. 100286, 2023, doi: 10.1016/j.chbr.2023.100286.</w:t>
      </w:r>
    </w:p>
    <w:p>
      <w:pPr>
        <w:pStyle w:val="Referencia"/>
      </w:pPr>
      <w:r>
        <w:t xml:space="preserve">[43] I. E. Diavastis, K. A. Chrysafis, and G. C. Papadopoulou, “Determinants of accounting information systems success,” Int. J. Financial Stud., vol. 12, no. 2, Art. no. 42, 2024, doi: 10.3390/ijfs12020042.</w:t>
      </w:r>
    </w:p>
    <w:p>
      <w:pPr>
        <w:pStyle w:val="Referencia"/>
      </w:pPr>
      <w:r>
        <w:t xml:space="preserve">[44] Parlamento Europeo y Consejo de la Unión Europea, “Reglamento (UE) 2016/679, de 27 de abril de 2016 (Reglamento general de protección de datos),” Diario Oficial de la Unión Europea, L 119, pp. 1–88, May 4, 2016.</w:t>
      </w:r>
    </w:p>
    <w:p>
      <w:pPr>
        <w:pStyle w:val="Referencia"/>
      </w:pPr>
      <w:r>
        <w:t xml:space="preserve">[45] Asamblea Nacional Constituyente, “Constitución Política de Colombia,” Gaceta Constitucional, no. 116, Jul. 20, 1991.</w:t>
      </w:r>
    </w:p>
    <w:p>
      <w:pPr>
        <w:pStyle w:val="Referencia"/>
      </w:pPr>
      <w:r>
        <w:t xml:space="preserve">[46] Congreso de la República de Colombia, “Ley Estatutaria 1581 de 2012,” Diario Oficial, Oct. 17, 2012.</w:t>
      </w:r>
    </w:p>
    <w:p>
      <w:pPr>
        <w:pStyle w:val="Referencia"/>
      </w:pPr>
      <w:r>
        <w:t xml:space="preserve">[47] Presidencia de la República de Colombia, “Decreto 1377 de 2013,” Diario Oficial, Jun. 27, 2013.</w:t>
      </w:r>
    </w:p>
    <w:p>
      <w:pPr>
        <w:pStyle w:val="Referencia"/>
      </w:pPr>
      <w:r>
        <w:t xml:space="preserve">[48] Congreso de la República de Colombia, “Ley 527 de 1999,” Diario Oficial, Aug. 18, 1999.</w:t>
      </w:r>
    </w:p>
    <w:p>
      <w:pPr>
        <w:pStyle w:val="Referencia"/>
      </w:pPr>
      <w:r>
        <w:t xml:space="preserve">[49] P. M. J. Delport, R. von Solms, and M. Gerber, “Methodological Guidelines for Design Science Research,” Procedia Comput. Sci., vol. 237, pp. 195–203, 2024, doi: 10.1016/j.procs.2024.05.096.</w:t>
      </w:r>
    </w:p>
    <w:p>
      <w:pPr>
        <w:pStyle w:val="Referencia"/>
      </w:pPr>
      <w:r>
        <w:t xml:space="preserve">[50] ISO/IEC/IEEE 29148:2018, Systems and software engineering — Life cycle processes — Requirements engineering, ISO, Geneva, Switzerland, 2018.</w:t>
      </w:r>
    </w:p>
    <w:p>
      <w:pPr>
        <w:pStyle w:val="Referencia"/>
      </w:pPr>
      <w:r>
        <w:t xml:space="preserve">[51] Congreso de la República de Colombia, “Ley 2101 de 2021, por medio de la cual se reduce la jornada laboral semanal de manera gradual,” Diario Oficial, Jul. 15,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[30].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