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default">9</w:t>
          </w:r>
        </w:p>
        <w:p>
          <w:pPr>
            <w:pStyle w:val="TOC1"/>
            <w:tabs>
              <w:tab w:val="clear" w:pos="9026"/>
              <w:tab w:val="right" w:pos="9360" w:leader="dot"/>
            </w:tabs>
          </w:pPr>
          <w:r>
            <w:t xml:space="default">RESUMEN</w:t>
            <w:tab/>
            <w:t xml:space="default">11</w:t>
          </w:r>
        </w:p>
        <w:p>
          <w:pPr>
            <w:pStyle w:val="TOC1"/>
            <w:tabs>
              <w:tab w:val="clear" w:pos="9026"/>
              <w:tab w:val="right" w:pos="9360" w:leader="dot"/>
            </w:tabs>
          </w:pPr>
          <w:r>
            <w:t xml:space="default">ABSTRACT</w:t>
            <w:tab/>
            <w:t xml:space="default">12</w:t>
          </w:r>
        </w:p>
        <w:p>
          <w:pPr>
            <w:pStyle w:val="TOC1"/>
            <w:tabs>
              <w:tab w:val="clear" w:pos="9026"/>
              <w:tab w:val="right" w:pos="9360" w:leader="dot"/>
            </w:tabs>
          </w:pPr>
          <w:r>
            <w:t xml:space="default">INTRODUCCIÓN</w:t>
            <w:tab/>
            <w:t xml:space="default">13</w:t>
          </w:r>
        </w:p>
        <w:p>
          <w:pPr>
            <w:pStyle w:val="TOC1"/>
            <w:tabs>
              <w:tab w:val="clear" w:pos="9026"/>
              <w:tab w:val="right" w:pos="9360" w:leader="dot"/>
            </w:tabs>
          </w:pPr>
          <w:r>
            <w:t xml:space="default">1. GENERALIDADES</w:t>
            <w:tab/>
            <w:t xml:space="default">15</w:t>
          </w:r>
        </w:p>
        <w:p>
          <w:pPr>
            <w:pStyle w:val="TOC2"/>
            <w:tabs>
              <w:tab w:val="clear" w:pos="8786"/>
              <w:tab w:val="right" w:pos="9360" w:leader="dot"/>
            </w:tabs>
          </w:pPr>
          <w:r>
            <w:t xml:space="default">1.1 ANTECEDENTES DEL PROBLEMA</w:t>
            <w:tab/>
            <w:t xml:space="default">15</w:t>
          </w:r>
        </w:p>
        <w:p>
          <w:pPr>
            <w:pStyle w:val="TOC2"/>
            <w:tabs>
              <w:tab w:val="clear" w:pos="8786"/>
              <w:tab w:val="right" w:pos="9360" w:leader="dot"/>
            </w:tabs>
          </w:pPr>
          <w:r>
            <w:t xml:space="default">1.2 PLANTEAMIENTO DEL PROBLEMA</w:t>
            <w:tab/>
            <w:t xml:space="default">15</w:t>
          </w:r>
        </w:p>
        <w:p>
          <w:pPr>
            <w:pStyle w:val="TOC2"/>
            <w:tabs>
              <w:tab w:val="clear" w:pos="8786"/>
              <w:tab w:val="right" w:pos="9360" w:leader="dot"/>
            </w:tabs>
          </w:pPr>
          <w:r>
            <w:t xml:space="default">1.3 JUSTIFICACIÓN</w:t>
            <w:tab/>
            <w:t xml:space="default">16</w:t>
          </w:r>
        </w:p>
        <w:p>
          <w:pPr>
            <w:pStyle w:val="TOC2"/>
            <w:tabs>
              <w:tab w:val="clear" w:pos="8786"/>
              <w:tab w:val="right" w:pos="9360" w:leader="dot"/>
            </w:tabs>
          </w:pPr>
          <w:r>
            <w:t xml:space="default">1.4 OBJETIVOS</w:t>
            <w:tab/>
            <w:t xml:space="default">18</w:t>
          </w:r>
        </w:p>
        <w:p>
          <w:pPr>
            <w:pStyle w:val="TOC3"/>
            <w:tabs>
              <w:tab w:val="clear" w:pos="8546"/>
              <w:tab w:val="right" w:pos="9360" w:leader="dot"/>
            </w:tabs>
          </w:pPr>
          <w:r>
            <w:t xml:space="default">1.4.1 Objetivo General.</w:t>
            <w:tab/>
            <w:t xml:space="default">18</w:t>
          </w:r>
        </w:p>
        <w:p>
          <w:pPr>
            <w:pStyle w:val="TOC3"/>
            <w:tabs>
              <w:tab w:val="clear" w:pos="8546"/>
              <w:tab w:val="right" w:pos="9360" w:leader="dot"/>
            </w:tabs>
          </w:pPr>
          <w:r>
            <w:t xml:space="default">1.4.2 Objetivos Específicos.</w:t>
            <w:tab/>
            <w:t xml:space="default">18</w:t>
          </w:r>
        </w:p>
        <w:p>
          <w:pPr>
            <w:pStyle w:val="TOC2"/>
            <w:tabs>
              <w:tab w:val="clear" w:pos="8786"/>
              <w:tab w:val="right" w:pos="9360" w:leader="dot"/>
            </w:tabs>
          </w:pPr>
          <w:r>
            <w:t xml:space="default">1.5 MARCOS DE REFERENCIA</w:t>
            <w:tab/>
            <w:t xml:space="default">18</w:t>
          </w:r>
        </w:p>
        <w:p>
          <w:pPr>
            <w:pStyle w:val="TOC3"/>
            <w:tabs>
              <w:tab w:val="clear" w:pos="8546"/>
              <w:tab w:val="right" w:pos="9360" w:leader="dot"/>
            </w:tabs>
          </w:pPr>
          <w:r>
            <w:t xml:space="default">1.5.1 Marco Conceptual.</w:t>
            <w:tab/>
            <w:t xml:space="default">18</w:t>
          </w:r>
        </w:p>
        <w:p>
          <w:pPr>
            <w:pStyle w:val="TOC3"/>
            <w:tabs>
              <w:tab w:val="clear" w:pos="8546"/>
              <w:tab w:val="right" w:pos="9360" w:leader="dot"/>
            </w:tabs>
          </w:pPr>
          <w:r>
            <w:t xml:space="default">1.5.2 Marco Teórico.</w:t>
            <w:tab/>
            <w:t xml:space="default">19</w:t>
          </w:r>
        </w:p>
        <w:p>
          <w:pPr>
            <w:pStyle w:val="TOC3"/>
            <w:tabs>
              <w:tab w:val="clear" w:pos="8546"/>
              <w:tab w:val="right" w:pos="9360" w:leader="dot"/>
            </w:tabs>
          </w:pPr>
          <w:r>
            <w:t xml:space="default">1.5.3 Marco Jurídico.</w:t>
            <w:tab/>
            <w:t xml:space="default">21</w:t>
          </w:r>
        </w:p>
        <w:p>
          <w:pPr>
            <w:pStyle w:val="TOC2"/>
            <w:tabs>
              <w:tab w:val="clear" w:pos="8786"/>
              <w:tab w:val="right" w:pos="9360" w:leader="dot"/>
            </w:tabs>
          </w:pPr>
          <w:r>
            <w:t xml:space="default">1.6 DISEÑO METODOLÓGICO</w:t>
            <w:tab/>
            <w:t xml:space="default">22</w:t>
          </w:r>
        </w:p>
        <w:p>
          <w:pPr>
            <w:pStyle w:val="TOC2"/>
            <w:tabs>
              <w:tab w:val="clear" w:pos="8786"/>
              <w:tab w:val="right" w:pos="9360" w:leader="dot"/>
            </w:tabs>
          </w:pPr>
          <w:r>
            <w:t xml:space="preserve">1.7 ALCANCE Y LIMITACIONES</w:t>
          </w:r>
        </w:p>
        <w:p>
          <w:pPr>
            <w:pStyle w:val="TOC1"/>
            <w:tabs>
              <w:tab w:val="clear" w:pos="9026"/>
              <w:tab w:val="right" w:pos="9360" w:leader="dot"/>
            </w:tabs>
          </w:pPr>
          <w:r>
            <w:t xml:space="default">2. CARACTERIZACIÓN DEL PROCESO OPERATIVO DE LAVASECO LA MANUELITA</w:t>
            <w:tab/>
            <w:t xml:space="default">27</w:t>
          </w:r>
        </w:p>
        <w:p>
          <w:pPr>
            <w:pStyle w:val="TOC2"/>
            <w:tabs>
              <w:tab w:val="clear" w:pos="8786"/>
              <w:tab w:val="right" w:pos="9360" w:leader="dot"/>
            </w:tabs>
          </w:pPr>
          <w:r>
            <w:t xml:space="default">2.1 INSTRUMENTOS APLICADOS</w:t>
            <w:tab/>
            <w:t xml:space="default">27</w:t>
          </w:r>
        </w:p>
        <w:p>
          <w:pPr>
            <w:pStyle w:val="TOC2"/>
            <w:tabs>
              <w:tab w:val="clear" w:pos="8786"/>
              <w:tab w:val="right" w:pos="9360" w:leader="dot"/>
            </w:tabs>
          </w:pPr>
          <w:r>
            <w:t xml:space="default">2.2 CARACTERIZACIÓN GENERAL DEL NEGOCIO</w:t>
            <w:tab/>
            <w:t xml:space="default">27</w:t>
          </w:r>
        </w:p>
        <w:p>
          <w:pPr>
            <w:pStyle w:val="TOC2"/>
            <w:tabs>
              <w:tab w:val="clear" w:pos="8786"/>
              <w:tab w:val="right" w:pos="9360" w:leader="dot"/>
            </w:tabs>
          </w:pPr>
          <w:r>
            <w:t xml:space="default">2.3 FLUJO DEL PROCESO OPERATIVO ACTUAL</w:t>
            <w:tab/>
            <w:t xml:space="default">28</w:t>
          </w:r>
        </w:p>
        <w:p>
          <w:pPr>
            <w:pStyle w:val="TOC2"/>
            <w:tabs>
              <w:tab w:val="clear" w:pos="8786"/>
              <w:tab w:val="right" w:pos="9360" w:leader="dot"/>
            </w:tabs>
          </w:pPr>
          <w:r>
            <w:t xml:space="default">2.4 PUNTOS CRÍTICOS IDENTIFICADOS</w:t>
            <w:tab/>
            <w:t xml:space="default">29</w:t>
          </w:r>
        </w:p>
        <w:p>
          <w:pPr>
            <w:pStyle w:val="TOC2"/>
            <w:tabs>
              <w:tab w:val="clear" w:pos="8786"/>
              <w:tab w:val="right" w:pos="9360" w:leader="dot"/>
            </w:tabs>
          </w:pPr>
          <w:r>
            <w:t xml:space="default">2.5 MATRIZ DE REQUERIMIENTOS</w:t>
            <w:tab/>
            <w:t xml:space="default">30</w:t>
          </w:r>
        </w:p>
        <w:p>
          <w:pPr>
            <w:pStyle w:val="TOC2"/>
            <w:tabs>
              <w:tab w:val="clear" w:pos="8786"/>
              <w:tab w:val="right" w:pos="9360" w:leader="dot"/>
            </w:tabs>
          </w:pPr>
          <w:r>
            <w:t xml:space="default">2.6 LÍNEA BASE DE INDICADORES</w:t>
            <w:tab/>
            <w:t xml:space="default">35</w:t>
          </w:r>
        </w:p>
        <w:p>
          <w:pPr>
            <w:pStyle w:val="TOC2"/>
            <w:tabs>
              <w:tab w:val="clear" w:pos="8786"/>
              <w:tab w:val="right" w:pos="9360" w:leader="dot"/>
            </w:tabs>
          </w:pPr>
          <w:r>
            <w:t xml:space="default">2.7 EVIDENCIA</w:t>
            <w:tab/>
            <w:t xml:space="default">38</w:t>
          </w:r>
        </w:p>
        <w:p>
          <w:pPr>
            <w:pStyle w:val="TOC2"/>
            <w:tabs>
              <w:tab w:val="clear" w:pos="8786"/>
              <w:tab w:val="right" w:pos="9360" w:leader="dot"/>
            </w:tabs>
          </w:pPr>
          <w:r>
            <w:t xml:space="default">2.8 ANÁLISIS DE RESULTADOS Y CUMPLIMIENTO DEL OBJETIVO</w:t>
            <w:tab/>
            <w:t xml:space="default">38</w:t>
          </w:r>
        </w:p>
        <w:p>
          <w:pPr>
            <w:pStyle w:val="TOC1"/>
            <w:tabs>
              <w:tab w:val="clear" w:pos="9026"/>
              <w:tab w:val="right" w:pos="9360" w:leader="dot"/>
            </w:tabs>
          </w:pPr>
          <w:r>
            <w:t xml:space="default">3. DESARROLLO DEL SEGUNDO OBJETIVO</w:t>
            <w:tab/>
            <w:t xml:space="default">40</w:t>
          </w:r>
        </w:p>
        <w:p>
          <w:pPr>
            <w:pStyle w:val="TOC2"/>
            <w:tabs>
              <w:tab w:val="clear" w:pos="8786"/>
              <w:tab w:val="right" w:pos="9360" w:leader="dot"/>
            </w:tabs>
          </w:pPr>
          <w:r>
            <w:t xml:space="default">3.1 DECISIÓN Y AJUSTE DE LA ARQUITECTURA OFFLINE-FIRST</w:t>
            <w:tab/>
            <w:t xml:space="default">40</w:t>
          </w:r>
        </w:p>
        <w:p>
          <w:pPr>
            <w:pStyle w:val="TOC2"/>
            <w:tabs>
              <w:tab w:val="clear" w:pos="8786"/>
              <w:tab w:val="right" w:pos="9360" w:leader="dot"/>
            </w:tabs>
          </w:pPr>
          <w:r>
            <w:t xml:space="default">3.2 MODELO DE DATOS E INFRAESTRUCTURA TECNOLÓGICA</w:t>
            <w:tab/>
            <w:t xml:space="default">42</w:t>
          </w:r>
        </w:p>
        <w:p>
          <w:pPr>
            <w:pStyle w:val="TOC2"/>
            <w:tabs>
              <w:tab w:val="clear" w:pos="8786"/>
              <w:tab w:val="right" w:pos="9360" w:leader="dot"/>
            </w:tabs>
          </w:pPr>
          <w:r>
            <w:t xml:space="default">3.3 CONSTRUCCIÓN DE MÓDULOS</w:t>
            <w:tab/>
            <w:t xml:space="default">44</w:t>
          </w:r>
        </w:p>
        <w:p>
          <w:pPr>
            <w:pStyle w:val="TOC2"/>
            <w:tabs>
              <w:tab w:val="clear" w:pos="8786"/>
              <w:tab w:val="right" w:pos="9360" w:leader="dot"/>
            </w:tabs>
          </w:pPr>
          <w:r>
            <w:t xml:space="default">3.4 PERSISTENCIA LOCAL Y MECANISMO DE SINCRONIZACIÓN</w:t>
            <w:tab/>
            <w:t xml:space="default">55</w:t>
          </w:r>
        </w:p>
        <w:p>
          <w:pPr>
            <w:pStyle w:val="TOC2"/>
            <w:tabs>
              <w:tab w:val="clear" w:pos="8786"/>
              <w:tab w:val="right" w:pos="9360" w:leader="dot"/>
            </w:tabs>
          </w:pPr>
          <w:r>
            <w:t xml:space="default">3.5 PROTECCIÓN DE DATOS PERSONALES</w:t>
            <w:tab/>
            <w:t xml:space="default">56</w:t>
          </w:r>
        </w:p>
        <w:p>
          <w:pPr>
            <w:pStyle w:val="TOC2"/>
            <w:tabs>
              <w:tab w:val="clear" w:pos="8786"/>
              <w:tab w:val="right" w:pos="9360" w:leader="dot"/>
            </w:tabs>
          </w:pPr>
          <w:r>
            <w:t xml:space="default">3.6 PREPARACIÓN PARA UNA EVENTUAL OPERACIÓN MULTI-SEDE</w:t>
            <w:tab/>
            <w:t xml:space="default">57</w:t>
          </w:r>
        </w:p>
        <w:p>
          <w:pPr>
            <w:pStyle w:val="TOC2"/>
            <w:tabs>
              <w:tab w:val="clear" w:pos="8786"/>
              <w:tab w:val="right" w:pos="9360" w:leader="dot"/>
            </w:tabs>
          </w:pPr>
          <w:r>
            <w:t xml:space="default">3.7 ANÁLISIS DE RESULTADOS Y CUMPLIMIENTO DEL OBJETIVO</w:t>
            <w:tab/>
            <w:t xml:space="default">58</w:t>
          </w:r>
        </w:p>
        <w:p>
          <w:pPr>
            <w:pStyle w:val="TOC1"/>
            <w:tabs>
              <w:tab w:val="clear" w:pos="9026"/>
              <w:tab w:val="right" w:pos="9360" w:leader="dot"/>
            </w:tabs>
          </w:pPr>
          <w:r>
            <w:t xml:space="default">4. DESARROLLO DEL TERCER OBJETIVO</w:t>
            <w:tab/>
            <w:t xml:space="default">59</w:t>
          </w:r>
        </w:p>
        <w:p>
          <w:pPr>
            <w:pStyle w:val="TOC2"/>
            <w:tabs>
              <w:tab w:val="clear" w:pos="8786"/>
              <w:tab w:val="right" w:pos="9360" w:leader="dot"/>
            </w:tabs>
          </w:pPr>
          <w:r>
            <w:t xml:space="default">4.1 DISEÑO DE LA VALIDACIÓN</w:t>
            <w:tab/>
            <w:t xml:space="default">59</w:t>
          </w:r>
        </w:p>
        <w:p>
          <w:pPr>
            <w:pStyle w:val="TOC2"/>
            <w:tabs>
              <w:tab w:val="clear" w:pos="8786"/>
              <w:tab w:val="right" w:pos="9360" w:leader="dot"/>
            </w:tabs>
          </w:pPr>
          <w:r>
            <w:t xml:space="default">4.2 PRUEBAS FUNCIONALES</w:t>
            <w:tab/>
            <w:t xml:space="default">61</w:t>
          </w:r>
        </w:p>
        <w:p>
          <w:pPr>
            <w:pStyle w:val="TOC2"/>
            <w:tabs>
              <w:tab w:val="clear" w:pos="8786"/>
              <w:tab w:val="right" w:pos="9360" w:leader="dot"/>
            </w:tabs>
          </w:pPr>
          <w:r>
            <w:t xml:space="default">4.3 TIEMPO DE REGISTRO DE PEDIDOS</w:t>
            <w:tab/>
            <w:t xml:space="default">64</w:t>
          </w:r>
        </w:p>
        <w:p>
          <w:pPr>
            <w:pStyle w:val="TOC3"/>
            <w:tabs>
              <w:tab w:val="clear" w:pos="8546"/>
              <w:tab w:val="right" w:pos="9360" w:leader="dot"/>
            </w:tabs>
          </w:pPr>
          <w:r>
            <w:t xml:space="default">4.3.1 Estabilidad del tiempo de registro.</w:t>
            <w:tab/>
            <w:t xml:space="default">66</w:t>
          </w:r>
        </w:p>
        <w:p>
          <w:pPr>
            <w:pStyle w:val="TOC3"/>
            <w:tabs>
              <w:tab w:val="clear" w:pos="8546"/>
              <w:tab w:val="right" w:pos="9360" w:leader="dot"/>
            </w:tabs>
          </w:pPr>
          <w:r>
            <w:t xml:space="default">4.3.2 Efecto del medio de entrega del soporte.</w:t>
            <w:tab/>
            <w:t xml:space="default">66</w:t>
          </w:r>
        </w:p>
        <w:p>
          <w:pPr>
            <w:pStyle w:val="TOC2"/>
            <w:tabs>
              <w:tab w:val="clear" w:pos="8786"/>
              <w:tab w:val="right" w:pos="9360" w:leader="dot"/>
            </w:tabs>
          </w:pPr>
          <w:r>
            <w:t xml:space="default">4.4 TIEMPO DE CIERRE DE CAJA</w:t>
            <w:tab/>
            <w:t xml:space="default">67</w:t>
          </w:r>
        </w:p>
        <w:p>
          <w:pPr>
            <w:pStyle w:val="TOC2"/>
            <w:tabs>
              <w:tab w:val="clear" w:pos="8786"/>
              <w:tab w:val="right" w:pos="9360" w:leader="dot"/>
            </w:tabs>
          </w:pPr>
          <w:r>
            <w:t xml:space="default">4.5 TRAZABILIDAD DE LOS PEDIDOS</w:t>
            <w:tab/>
            <w:t xml:space="default">69</w:t>
          </w:r>
        </w:p>
        <w:p>
          <w:pPr>
            <w:pStyle w:val="TOC3"/>
            <w:tabs>
              <w:tab w:val="clear" w:pos="8546"/>
              <w:tab w:val="right" w:pos="9360" w:leader="dot"/>
            </w:tabs>
          </w:pPr>
          <w:r>
            <w:t xml:space="default">4.5.1 Confusiones de pedidos.</w:t>
            <w:tab/>
            <w:t xml:space="default">69</w:t>
          </w:r>
        </w:p>
        <w:p>
          <w:pPr>
            <w:pStyle w:val="TOC3"/>
            <w:tabs>
              <w:tab w:val="clear" w:pos="8546"/>
              <w:tab w:val="right" w:pos="9360" w:leader="dot"/>
            </w:tabs>
          </w:pPr>
          <w:r>
            <w:t xml:space="default">4.5.2 Localización de pedidos.</w:t>
            <w:tab/>
            <w:t xml:space="default">70</w:t>
          </w:r>
        </w:p>
        <w:p>
          <w:pPr>
            <w:pStyle w:val="TOC2"/>
            <w:tabs>
              <w:tab w:val="clear" w:pos="8786"/>
              <w:tab w:val="right" w:pos="9360" w:leader="dot"/>
            </w:tabs>
          </w:pPr>
          <w:r>
            <w:t xml:space="default">4.6 SATISFACCIÓN DEL USUARIO</w:t>
            <w:tab/>
            <w:t xml:space="default">71</w:t>
          </w:r>
        </w:p>
        <w:p>
          <w:pPr>
            <w:pStyle w:val="TOC2"/>
            <w:tabs>
              <w:tab w:val="clear" w:pos="8786"/>
              <w:tab w:val="right" w:pos="9360" w:leader="dot"/>
            </w:tabs>
          </w:pPr>
          <w:r>
            <w:t xml:space="default">4.7 ANÁLISIS DE RESULTADOS Y CUMPLIMIENTO DEL OBJETIVO</w:t>
            <w:tab/>
            <w:t xml:space="default">72</w:t>
          </w:r>
        </w:p>
        <w:p>
          <w:pPr>
            <w:pStyle w:val="TOC1"/>
            <w:tabs>
              <w:tab w:val="clear" w:pos="9026"/>
              <w:tab w:val="right" w:pos="9360" w:leader="dot"/>
            </w:tabs>
          </w:pPr>
          <w:r>
            <w:t xml:space="default">5. CONCLUSIONES</w:t>
            <w:tab/>
            <w:t xml:space="default">75</w:t>
          </w:r>
        </w:p>
        <w:p>
          <w:pPr>
            <w:pStyle w:val="TOC1"/>
            <w:tabs>
              <w:tab w:val="clear" w:pos="9026"/>
              <w:tab w:val="right" w:pos="9360" w:leader="dot"/>
            </w:tabs>
          </w:pPr>
          <w:r>
            <w:t xml:space="default">6. RECOMENDACIONES</w:t>
            <w:tab/>
            <w:t xml:space="default">77</w:t>
          </w:r>
        </w:p>
        <w:p>
          <w:pPr>
            <w:pStyle w:val="TOC1"/>
            <w:tabs>
              <w:tab w:val="clear" w:pos="9026"/>
              <w:tab w:val="right" w:pos="9360" w:leader="dot"/>
            </w:tabs>
          </w:pPr>
          <w:r>
            <w:t xml:space="default">BIBLIOGRAFÍA</w:t>
            <w:tab/>
            <w:t xml:space="default">80</w:t>
          </w:r>
        </w:p>
        <w:p>
          <w:pPr>
            <w:pStyle w:val="TOC1"/>
            <w:tabs>
              <w:tab w:val="clear" w:pos="9026"/>
              <w:tab w:val="right" w:pos="9360" w:leader="dot"/>
            </w:tabs>
          </w:pPr>
          <w:r>
            <w:t xml:space="default">ANEXOS</w:t>
            <w:tab/>
            <w:t xml:space="default">85</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default">20</w:t>
          </w:r>
        </w:p>
        <w:p>
          <w:pPr>
            <w:pStyle w:val="TOC1"/>
            <w:tabs>
              <w:tab w:val="clear" w:pos="9026"/>
              <w:tab w:val="right" w:pos="9360" w:leader="dot"/>
            </w:tabs>
          </w:pPr>
          <w:r>
            <w:t xml:space="default">Tabla 2. Indicadores clave de desempeño (KPI)</w:t>
            <w:tab/>
            <w:t xml:space="default">26</w:t>
          </w:r>
        </w:p>
        <w:p>
          <w:pPr>
            <w:pStyle w:val="TOC1"/>
            <w:tabs>
              <w:tab w:val="clear" w:pos="9026"/>
              <w:tab w:val="right" w:pos="9360" w:leader="dot"/>
            </w:tabs>
          </w:pPr>
          <w:r>
            <w:t xml:space="default">Tabla 3. Matriz de requerimientos funcionales y no funcionales</w:t>
            <w:tab/>
            <w:t xml:space="default">32</w:t>
          </w:r>
        </w:p>
        <w:p>
          <w:pPr>
            <w:pStyle w:val="TOC1"/>
            <w:tabs>
              <w:tab w:val="clear" w:pos="9026"/>
              <w:tab w:val="right" w:pos="9360" w:leader="dot"/>
            </w:tabs>
          </w:pPr>
          <w:r>
            <w:t xml:space="default">Tabla 4. Tarifario de servicios — Lavaseco La Manuelita</w:t>
            <w:tab/>
            <w:t xml:space="default">34</w:t>
          </w:r>
        </w:p>
        <w:p>
          <w:pPr>
            <w:pStyle w:val="TOC1"/>
            <w:tabs>
              <w:tab w:val="clear" w:pos="9026"/>
              <w:tab w:val="right" w:pos="9360" w:leader="dot"/>
            </w:tabs>
          </w:pPr>
          <w:r>
            <w:t xml:space="default">Tabla 5. Línea base medida — reemplaza la línea base declarada</w:t>
            <w:tab/>
            <w:t xml:space="default">36</w:t>
          </w:r>
        </w:p>
        <w:p>
          <w:pPr>
            <w:pStyle w:val="TOC1"/>
            <w:tabs>
              <w:tab w:val="clear" w:pos="9026"/>
              <w:tab w:val="right" w:pos="9360" w:leader="dot"/>
            </w:tabs>
          </w:pPr>
          <w:r>
            <w:t xml:space="default">Tabla 6. Modelo de datos del prototipo</w:t>
            <w:tab/>
            <w:t xml:space="default">43</w:t>
          </w:r>
        </w:p>
        <w:p>
          <w:pPr>
            <w:pStyle w:val="TOC1"/>
            <w:tabs>
              <w:tab w:val="clear" w:pos="9026"/>
              <w:tab w:val="right" w:pos="9360" w:leader="dot"/>
            </w:tabs>
          </w:pPr>
          <w:r>
            <w:t xml:space="default">Tabla 7. Estado de los módulos del prototipo</w:t>
            <w:tab/>
            <w:t xml:space="default">45</w:t>
          </w:r>
        </w:p>
        <w:p>
          <w:pPr>
            <w:pStyle w:val="TOC1"/>
            <w:tabs>
              <w:tab w:val="clear" w:pos="9026"/>
              <w:tab w:val="right" w:pos="9360" w:leader="dot"/>
            </w:tabs>
          </w:pPr>
          <w:r>
            <w:t xml:space="default">Tabla 8. Controles de seguridad y protección de datos del prototipo</w:t>
            <w:tab/>
            <w:t xml:space="default">57</w:t>
          </w:r>
        </w:p>
        <w:p>
          <w:pPr>
            <w:pStyle w:val="TOC1"/>
            <w:tabs>
              <w:tab w:val="clear" w:pos="9026"/>
              <w:tab w:val="right" w:pos="9360" w:leader="dot"/>
            </w:tabs>
          </w:pPr>
          <w:r>
            <w:t xml:space="default">Tabla 9. Instrumentos aplicados en la validación del prototipo</w:t>
            <w:tab/>
            <w:t xml:space="default">60</w:t>
          </w:r>
        </w:p>
        <w:p>
          <w:pPr>
            <w:pStyle w:val="TOC1"/>
            <w:tabs>
              <w:tab w:val="clear" w:pos="9026"/>
              <w:tab w:val="right" w:pos="9360" w:leader="dot"/>
            </w:tabs>
          </w:pPr>
          <w:r>
            <w:t xml:space="default">Tabla 10. Resultados de los casos de prueba funcional</w:t>
            <w:tab/>
            <w:t xml:space="default">62</w:t>
          </w:r>
        </w:p>
        <w:p>
          <w:pPr>
            <w:pStyle w:val="TOC1"/>
            <w:tabs>
              <w:tab w:val="clear" w:pos="9026"/>
              <w:tab w:val="right" w:pos="9360" w:leader="dot"/>
            </w:tabs>
          </w:pPr>
          <w:r>
            <w:t xml:space="default">Tabla 11. Tiempo de registro de un pedido: línea base vs. prototipo</w:t>
            <w:tab/>
            <w:t xml:space="default">64</w:t>
          </w:r>
        </w:p>
        <w:p>
          <w:pPr>
            <w:pStyle w:val="TOC1"/>
            <w:tabs>
              <w:tab w:val="clear" w:pos="9026"/>
              <w:tab w:val="right" w:pos="9360" w:leader="dot"/>
            </w:tabs>
          </w:pPr>
          <w:r>
            <w:t xml:space="default">Tabla 12. Medio de entrega del soporte al cliente y su efecto en el tiempo de registro</w:t>
            <w:tab/>
            <w:t xml:space="default">67</w:t>
          </w:r>
        </w:p>
        <w:p>
          <w:pPr>
            <w:pStyle w:val="TOC1"/>
            <w:tabs>
              <w:tab w:val="clear" w:pos="9026"/>
              <w:tab w:val="right" w:pos="9360" w:leader="dot"/>
            </w:tabs>
          </w:pPr>
          <w:r>
            <w:t xml:space="default">Tabla 13. Cierres de caja cronometrados con el prototipo</w:t>
            <w:tab/>
            <w:t xml:space="default">68</w:t>
          </w:r>
        </w:p>
        <w:p>
          <w:pPr>
            <w:pStyle w:val="TOC1"/>
            <w:tabs>
              <w:tab w:val="clear" w:pos="9026"/>
              <w:tab w:val="right" w:pos="9360" w:leader="dot"/>
            </w:tabs>
          </w:pPr>
          <w:r>
            <w:t xml:space="default">Tabla 14. Causas de las confusiones de pedidos: línea base vs. prototipo</w:t>
            <w:tab/>
            <w:t xml:space="default">69</w:t>
          </w:r>
        </w:p>
        <w:p>
          <w:pPr>
            <w:pStyle w:val="TOC1"/>
            <w:tabs>
              <w:tab w:val="clear" w:pos="9026"/>
              <w:tab w:val="right" w:pos="9360" w:leader="dot"/>
            </w:tabs>
          </w:pPr>
          <w:r>
            <w:t xml:space="default">Tabla 15. Resultados del cuestionario SUS por participante</w:t>
            <w:tab/>
            <w:t xml:space="default">71</w:t>
          </w:r>
        </w:p>
        <w:p>
          <w:pPr>
            <w:pStyle w:val="TOC1"/>
            <w:tabs>
              <w:tab w:val="clear" w:pos="9026"/>
              <w:tab w:val="right" w:pos="9360" w:leader="dot"/>
            </w:tabs>
          </w:pPr>
          <w:r>
            <w:t xml:space="default">Tabla 16. Cumplimiento de los indicadores del tercer objetivo</w:t>
            <w:tab/>
            <w:t xml:space="default">73</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default"/>
          </w:r>
        </w:p>
        <w:p>
          <w:pPr>
            <w:pStyle w:val="TOC1"/>
            <w:tabs>
              <w:tab w:val="clear" w:pos="9026"/>
              <w:tab w:val="right" w:pos="9360" w:leader="dot"/>
            </w:tabs>
          </w:pPr>
          <w:r>
            <w:t xml:space="default">Figura 2. Diagrama de casos de uso — Lavaseco La Manuelita</w:t>
            <w:tab/>
            <w:t xml:space="default">31</w:t>
          </w:r>
        </w:p>
        <w:p>
          <w:pPr>
            <w:pStyle w:val="TOC1"/>
            <w:tabs>
              <w:tab w:val="clear" w:pos="9026"/>
              <w:tab w:val="right" w:pos="9360" w:leader="dot"/>
            </w:tabs>
          </w:pPr>
          <w:r>
            <w:t xml:space="default">Figura 3. Causas de confusión de pedidos — Lavaseco La Manuelita</w:t>
            <w:tab/>
            <w:t xml:space="default">37</w:t>
          </w:r>
        </w:p>
        <w:p>
          <w:pPr>
            <w:pStyle w:val="TOC1"/>
            <w:tabs>
              <w:tab w:val="clear" w:pos="9026"/>
              <w:tab w:val="right" w:pos="9360" w:leader="dot"/>
            </w:tabs>
          </w:pPr>
          <w:r>
            <w:t xml:space="default">Figura 4. Línea base declarada vs. medida — Lavaseco La Manuelita</w:t>
            <w:tab/>
            <w:t xml:space="default">37</w:t>
          </w:r>
        </w:p>
        <w:p>
          <w:pPr>
            <w:pStyle w:val="TOC1"/>
            <w:tabs>
              <w:tab w:val="clear" w:pos="9026"/>
              <w:tab w:val="right" w:pos="9360" w:leader="dot"/>
            </w:tabs>
          </w:pPr>
          <w:r>
            <w:t xml:space="default">Figura 5. Arquitectura de despliegue local-first — Lavaseco La Manuelita</w:t>
            <w:tab/>
            <w:t xml:space="default">42</w:t>
          </w:r>
        </w:p>
        <w:p>
          <w:pPr>
            <w:pStyle w:val="TOC1"/>
            <w:tabs>
              <w:tab w:val="clear" w:pos="9026"/>
              <w:tab w:val="right" w:pos="9360" w:leader="dot"/>
            </w:tabs>
          </w:pPr>
          <w:r>
            <w:t xml:space="default">Figura 6. Diagrama entidad-relación del prototipo — Lavaseco La Manuelita</w:t>
            <w:tab/>
            <w:t xml:space="default">44</w:t>
          </w:r>
        </w:p>
        <w:p>
          <w:pPr>
            <w:pStyle w:val="TOC1"/>
            <w:tabs>
              <w:tab w:val="clear" w:pos="9026"/>
              <w:tab w:val="right" w:pos="9360" w:leader="dot"/>
            </w:tabs>
          </w:pPr>
          <w:r>
            <w:t xml:space="preserve">Figura 7. Proceso operativo con el prototipo (BPMN 2.0) — Lavaseco La Manuelita</w:t>
            <w:tab/>
            <w:t xml:space="default"/>
          </w:r>
        </w:p>
        <w:p>
          <w:pPr>
            <w:pStyle w:val="TOC1"/>
            <w:tabs>
              <w:tab w:val="clear" w:pos="9026"/>
              <w:tab w:val="right" w:pos="9360" w:leader="dot"/>
            </w:tabs>
          </w:pPr>
          <w:r>
            <w:t xml:space="default">Figura 8. Diagrama de estados del pedido — Lavaseco La Manuelita</w:t>
            <w:tab/>
            <w:t xml:space="default">47</w:t>
          </w:r>
        </w:p>
        <w:p>
          <w:pPr>
            <w:pStyle w:val="TOC1"/>
            <w:tabs>
              <w:tab w:val="clear" w:pos="9026"/>
              <w:tab w:val="right" w:pos="9360" w:leader="dot"/>
            </w:tabs>
          </w:pPr>
          <w:r>
            <w:t xml:space="default">Figura 9. Acceso al sistema — portal de empleado y panel de gerente (RNF04)</w:t>
            <w:tab/>
            <w:t xml:space="default">47</w:t>
          </w:r>
        </w:p>
        <w:p>
          <w:pPr>
            <w:pStyle w:val="TOC1"/>
            <w:tabs>
              <w:tab w:val="clear" w:pos="9026"/>
              <w:tab w:val="right" w:pos="9360" w:leader="dot"/>
            </w:tabs>
          </w:pPr>
          <w:r>
            <w:t xml:space="default">Figura 10. Pedido rápido — paso 1: datos del cliente (RF01)</w:t>
            <w:tab/>
            <w:t xml:space="default">48</w:t>
          </w:r>
        </w:p>
        <w:p>
          <w:pPr>
            <w:pStyle w:val="TOC1"/>
            <w:tabs>
              <w:tab w:val="clear" w:pos="9026"/>
              <w:tab w:val="right" w:pos="9360" w:leader="dot"/>
            </w:tabs>
          </w:pPr>
          <w:r>
            <w:t xml:space="default">Figura 11. Panel financiero — indicadores del día y calendario de movimientos (RF09 y reportería adicional)</w:t>
            <w:tab/>
            <w:t xml:space="default">48</w:t>
          </w:r>
        </w:p>
        <w:p>
          <w:pPr>
            <w:pStyle w:val="TOC1"/>
            <w:tabs>
              <w:tab w:val="clear" w:pos="9026"/>
              <w:tab w:val="right" w:pos="9360" w:leader="dot"/>
            </w:tabs>
          </w:pPr>
          <w:r>
            <w:t xml:space="default">Figura 12. Cierre de caja en el panel financiero, con ganancia neta y efectivo en caja separados (RF09)</w:t>
            <w:tab/>
            <w:t xml:space="default">49</w:t>
          </w:r>
        </w:p>
        <w:p>
          <w:pPr>
            <w:pStyle w:val="TOC1"/>
            <w:tabs>
              <w:tab w:val="clear" w:pos="9026"/>
              <w:tab w:val="right" w:pos="9360" w:leader="dot"/>
            </w:tabs>
          </w:pPr>
          <w:r>
            <w:t xml:space="default">Figura 13. Pedidos con más de tres meses en piso (RF11)</w:t>
            <w:tab/>
            <w:t xml:space="default">50</w:t>
          </w:r>
        </w:p>
        <w:p>
          <w:pPr>
            <w:pStyle w:val="TOC1"/>
            <w:tabs>
              <w:tab w:val="clear" w:pos="9026"/>
              <w:tab w:val="right" w:pos="9360" w:leader="dot"/>
            </w:tabs>
          </w:pPr>
          <w:r>
            <w:t xml:space="default">Figura 14. Inventario en piso, con filtros y acceso a escaneo de código de barras (RF06, RF03)</w:t>
            <w:tab/>
            <w:t xml:space="default">50</w:t>
          </w:r>
        </w:p>
        <w:p>
          <w:pPr>
            <w:pStyle w:val="TOC1"/>
            <w:tabs>
              <w:tab w:val="clear" w:pos="9026"/>
              <w:tab w:val="right" w:pos="9360" w:leader="dot"/>
            </w:tabs>
          </w:pPr>
          <w:r>
            <w:t xml:space="default">Figura 15. Detalle de pedido — prendas, abono y cambio de estado (RF03, RF04)</w:t>
            <w:tab/>
            <w:t xml:space="default">51</w:t>
          </w:r>
        </w:p>
        <w:p>
          <w:pPr>
            <w:pStyle w:val="TOC1"/>
            <w:tabs>
              <w:tab w:val="clear" w:pos="9026"/>
              <w:tab w:val="right" w:pos="9360" w:leader="dot"/>
            </w:tabs>
          </w:pPr>
          <w:r>
            <w:t xml:space="default">Figura 16. Recibo con código de barras generado por el sistema (vista imprimible) — soporte de trazabilidad de la marquilla</w:t>
            <w:tab/>
            <w:t xml:space="default">52</w:t>
          </w:r>
        </w:p>
        <w:p>
          <w:pPr>
            <w:pStyle w:val="TOC1"/>
            <w:tabs>
              <w:tab w:val="clear" w:pos="9026"/>
              <w:tab w:val="right" w:pos="9360" w:leader="dot"/>
            </w:tabs>
          </w:pPr>
          <w:r>
            <w:t xml:space="preserve">Figura 17. Panel remoto de la gerente: (a) con conexión y (b) sin conexión</w:t>
            <w:tab/>
            <w:t xml:space="default"/>
          </w:r>
        </w:p>
        <w:p>
          <w:pPr>
            <w:pStyle w:val="TOC1"/>
            <w:tabs>
              <w:tab w:val="clear" w:pos="9026"/>
              <w:tab w:val="right" w:pos="9360" w:leader="dot"/>
            </w:tabs>
          </w:pPr>
          <w:r>
            <w:t xml:space="default">Figura 19. Tiempo de registro y de cierre de caja: línea base vs. prototipo, frente a la meta de reducción del 40 %</w:t>
            <w:tab/>
            <w:t xml:space="default">65</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default">86</w:t>
          </w:r>
        </w:p>
        <w:p>
          <w:pPr>
            <w:pStyle w:val="TOC1"/>
            <w:tabs>
              <w:tab w:val="clear" w:pos="9026"/>
              <w:tab w:val="right" w:pos="9360" w:leader="dot"/>
            </w:tabs>
          </w:pPr>
          <w:r>
            <w:t xml:space="default">Anexo B. Página del cuaderno de salidas — registro de recibos tachados al retirarse el pedido del piso (sin datos personales)</w:t>
            <w:tab/>
            <w:t xml:space="default">87</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default">88</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default">89</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default">90</w:t>
          </w:r>
        </w:p>
        <w:p>
          <w:pPr>
            <w:pStyle w:val="TOC1"/>
            <w:tabs>
              <w:tab w:val="clear" w:pos="9026"/>
              <w:tab w:val="right" w:pos="9360" w:leader="dot"/>
            </w:tabs>
          </w:pPr>
          <w:r>
            <w:t xml:space="default">Anexo F. Registro técnico de verificaciones y correcciones durante la construcción del prototipo</w:t>
            <w:tab/>
            <w:t xml:space="default">92</w:t>
          </w:r>
        </w:p>
        <w:p>
          <w:pPr>
            <w:pStyle w:val="TOC1"/>
            <w:tabs>
              <w:tab w:val="clear" w:pos="9026"/>
              <w:tab w:val="right" w:pos="9360" w:leader="dot"/>
            </w:tabs>
          </w:pPr>
          <w:r>
            <w:t xml:space="default">Anexo G. Cuestionario SUS y preguntas abiertas aplicados a los usuarios del prototipo</w:t>
            <w:tab/>
            <w:t xml:space="default">100</w:t>
          </w:r>
        </w:p>
        <w:p>
          <w:pPr>
            <w:pStyle w:val="TOC1"/>
            <w:tabs>
              <w:tab w:val="clear" w:pos="9026"/>
              <w:tab w:val="right" w:pos="9360" w:leader="dot"/>
            </w:tabs>
          </w:pPr>
          <w:r>
            <w:t xml:space="default">Anexo H. Bitácora de confusiones de pedidos registradas durante la validación (8 al 30 de septiembre de 2026)</w:t>
            <w:tab/>
            <w:t xml:space="default">101</w:t>
          </w:r>
          <w:r>
            <w:fldChar w:fldCharType="end"/>
          </w:r>
        </w:p>
      </w:sdtContent>
    </w:sdt>
    <w:p>
      <w:pPr>
        <w:pStyle w:val="Heading1"/>
        <w:jc w:val="center"/>
      </w:pPr>
      <w:r>
        <w:t xml:space="preserve">GLOSARIO</w:t>
      </w:r>
    </w:p>
    <w:p>
      <w:pPr>
        <w:pStyle w:val="Cuerpo"/>
      </w:pPr>
      <w:r>
        <w:rPr>
          <w:b/>
          <w:bCs/>
        </w:rPr>
        <w:t xml:space="preserve">ARQUITECTURA LOCAL-FIRST:</w:t>
      </w:r>
      <w:r>
        <w:t xml:space="preserve"> enfoque de diseño de software en el que los datos residen y se procesan principalmente en el equipo del usuario. La nube cumple funciones complementarias, como el respaldo o la colaboración, y el usuario conserva su información aun sin conexión [15, 35].</w:t>
      </w:r>
    </w:p>
    <w:p>
      <w:pPr>
        <w:pStyle w:val="Cuerpo"/>
      </w:pPr>
      <w:r>
        <w:rPr>
          <w:b/>
          <w:bCs/>
        </w:rPr>
        <w:t xml:space="preserve">ARQUITECTURA OFFLINE-FIRST:</w:t>
      </w:r>
      <w:r>
        <w:t xml:space="preserve">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35].</w:t>
      </w:r>
    </w:p>
    <w:p>
      <w:pPr>
        <w:pStyle w:val="Cuerpo"/>
      </w:pPr>
      <w:r>
        <w:rPr>
          <w:b/>
          <w:bCs/>
        </w:rPr>
        <w:t xml:space="preserve">BLACK-BOX TESTING O PRUEBAS DE CAJA NEGRA:</w:t>
      </w:r>
      <w:r>
        <w:t xml:space="preserve"> técnica de prueba que revisa las entradas y salidas de un sistema sin mirar su código, y compara el resultado obtenido con el esperado según la especificación [47].</w:t>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w:t>
      </w:r>
      <w:r>
        <w:t xml:space="preserve"> modelo de provisión de recursos tecnológicos bajo demanda a través de internet [6, 13].</w:t>
      </w:r>
    </w:p>
    <w:p>
      <w:pPr>
        <w:pStyle w:val="Cuerpo"/>
      </w:pPr>
      <w:r>
        <w:rPr>
          <w:b/>
          <w:bCs/>
        </w:rPr>
        <w:t xml:space="preserve">CLOUD FIRESTORE:</w:t>
      </w:r>
      <w:r>
        <w:t xml:space="preserve"> base de datos NoSQL de Google Cloud. En este proyecto alimenta el panel remoto de la gerente y recibe el respaldo periódico de la información del negocio. Los pedidos se registran en SQLite, en el equipo del local [13].</w:t>
      </w:r>
    </w:p>
    <w:p>
      <w:pPr>
        <w:pStyle w:val="Cuerpo"/>
      </w:pPr>
      <w:r>
        <w:rPr>
          <w:b/>
          <w:bCs/>
        </w:rPr>
        <w:t xml:space="preserve">DESIGN SCIENCE RESEARCH (DSR):</w:t>
      </w:r>
      <w:r>
        <w:t xml:space="preserve"> enfoque de investigación orientado al diseño, la construcción y la evaluación de artefactos tecnológicos que resuelven problemas reales [39, 40].</w:t>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w:t>
      </w:r>
      <w:r>
        <w:t xml:space="preserve"> capacidad de guardar los datos en el equipo del usuario para seguir operando cuando no hay internet [15, 16].</w:t>
      </w:r>
    </w:p>
    <w:p>
      <w:pPr>
        <w:pStyle w:val="Cuerpo"/>
      </w:pPr>
      <w:r>
        <w:rPr>
          <w:b/>
          <w:bCs/>
        </w:rPr>
        <w:t xml:space="preserve">PROTOTIPO:</w:t>
      </w:r>
      <w:r>
        <w:t xml:space="preserve"> versión funcional de un sistema que se usa para probar su diseño, su usabilidad y su comportamiento antes de una implementación definitiva [39].</w:t>
      </w:r>
    </w:p>
    <w:p>
      <w:pPr>
        <w:pStyle w:val="Cuerpo"/>
      </w:pPr>
      <w:r>
        <w:rPr>
          <w:b/>
          <w:bCs/>
        </w:rPr>
        <w:t xml:space="preserve">SINCRONIZACIÓN DE DATOS:</w:t>
      </w:r>
      <w:r>
        <w:t xml:space="preserve"> en este proyecto, el proceso por el que el panel remoto de la gerente trae de Firestore los últimos datos cuando hay conexión y los guarda en caché para mostrarlos si después se consulta sin conexión [15, 16].</w:t>
      </w:r>
    </w:p>
    <w:p>
      <w:pPr>
        <w:pStyle w:val="Cuerpo"/>
      </w:pPr>
      <w:r>
        <w:rPr>
          <w:b/>
          <w:bCs/>
        </w:rPr>
        <w:t xml:space="preserve">SYSTEM USABILITY SCALE (SUS):</w:t>
      </w:r>
      <w:r>
        <w:t xml:space="preserve"> cuestionario estandarizado de diez afirmaciones, con escala de 1 a 5, que da un puntaje de usabilidad percibida entre 0 y 100 [44, 45].</w:t>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w:t>
      </w:r>
      <w:r>
        <w:t xml:space="preserve"> grado en que un sistema puede ser usado por determinados usuarios para lograr objetivos con eficacia, eficiencia y satisfacción en un contexto de uso específico [46].</w:t>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[29, 43]. Cuando la gestión se hace con papel y cálculos a mano, los datos tienen errores y el dueño pierde control sobre la operación [3, 4].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[35]. El modelo de éxito de los sistemas de información de DeLone y McLean llevó a evaluar el prototipo por la calidad del sistema, el uso y la satisfacción del usuario [4]. El método siguió Design Science Research [39, 40]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[9], aplicaciones web de gestión [10, 33] y seguimiento en línea del pedido [34]. La excepción es Rahmadani et al., con una aplicación de escritorio sin conexión que bajó 35 % el tiempo de procesamiento [42], sin respaldo ni consulta remota. Guardar los datos en el equipo y usar la nube como complemento es la idea local-first [15, 35].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[3, 4].</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[3, 4].</w:t>
      </w:r>
    </w:p>
    <w:p>
      <w:pPr>
        <w:pStyle w:val="Cuerpo"/>
      </w:pPr>
      <w:r>
        <w:t xml:space="preserve">La conexión residencial del local falla con frecuencia, de modo que el sistema tenía que seguir registrando pedidos sin internet [7, 15]. Se eligió entonces el enfoque offline-first. El respaldo y el panel remoto de la gerente sí necesitan conexión, y para ellos se usaron servicios administrados en la nube, porque el negocio no tiene quién administre servidores propios [6, 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[43].</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[48].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[6, 8, 13],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Cuerpo"/>
      </w:pPr>
      <w:r>
        <w:t xml:space="preserve">Nota sobre la formulación. Una versión anterior cambió la redacción a «mejore la trazabilidad»; se restituye la formulación original: reducir tiempos y disminuir las confusiones de pedidos. El numeral 4.5 reporta que el tiempo de resolución bajó y que las confusiones de clasificación y archivo pasaron de 8 a 2, pero que la frecuencia semanal no disminuyó de forma demostrable. El tercer objetivo específico evalúa, además, la trazabilidad (pedido en un solo registro) y la satisfacción.</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[4, 5]. Lo que se construyó aquí es un sistema de procesamiento de transacciones (OLTP), hecho para operaciones cortas y frecuentes, como registrar un pedido o un pago [13, 19, 38].</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[7, 15]. Aquí se aplica con una arquitectura local-first autoalojada, en la que los datos están en el equipo del usuario y la nube cumple funciones complementarias [35]. El servidor y la base de datos funcionan en un computador del local, y eso da la persistencia local [7, 11, 14].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16]. La parte en la nube usa servicios administrados, en la línea de los enfoques NoOps, serverless y cloud-native, para no tener que administrar servidores [6, 8, 36, 37].</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[46], y se mide con la System Usability Scale (SUS) [44, 45]. Los requerimientos se verifican con pruebas de caja negra, que comparan el resultado obtenido con el esperado sin revisar el código [47].</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[35] describen esa idea, que el usuario trabaje sobre sus datos en su propio equipo y la nube quede para respaldo y colaboración, y Klokmose et al. [15] y Haas et al. [7] la llevan a aplicaciones concretas. No se montó CRDT [35] ni el estado relacional reactivo de Litt et al. [16]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[6, 8, 13, 17, 38]. Para evaluar el prototipo se tomó de DeLone y McLean la calidad del sistema, el uso y la satisfacción [4, 18], se midió la usabilidad con la SUS de Brooke [44], leída con las escalas de Bangor et al. [45] y Sauro y Lewis [46], y se armaron los casos de prueba con la ISO/IEC/IEEE 29119 [47], como pide Hevner et al. [39]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[25]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[29]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[30]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[31]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[32]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[33]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[34]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[49].</w:t>
      </w:r>
    </w:p>
    <w:p>
      <w:pPr>
        <w:pStyle w:val="Cuerpo"/>
      </w:pPr>
      <w:r>
        <w:t xml:space="preserve">En Colombia, el artículo 15 de la Constitución Política reconoce el derecho de toda persona a conocer, actualizar y rectificar la información que se haya recogido sobre ella [50].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[20].</w:t>
      </w:r>
    </w:p>
    <w:p>
      <w:pPr>
        <w:pStyle w:val="Cuerpo"/>
      </w:pPr>
      <w:r>
        <w:t xml:space="preserve">El Decreto 1377 de 2013 reglamenta la autorización y las políticas de tratamiento de datos [21]. De estas normas salen el requisito RNF04 y las medidas del numeral 3.5. La Ley 527 de 1999 da validez a los mensajes de datos. Su artículo 10 les reconoce fuerza probatoria y su artículo 12 dice cómo deben conservarse [22].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[40], los criterios de rigor de Hevner et al. [39] y las orientaciones de Delport, Von Solms y Gerber [12].</w:t>
      </w:r>
    </w:p>
    <w:p>
      <w:pPr>
        <w:pStyle w:val="Cuerpo"/>
      </w:pPr>
      <w:r>
        <w:t xml:space="preserve">El software se desarrolló de forma iterativa e incremental, con ingeniería de requisitos según la norma ISO/IEC/IEEE 29148 [41].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1. Proceso operativo actual (notación BPMN 2.0) — Lavaseco La Manuelita. Elaboración propia. Pools: Cliente y Lavaseco (carriles E1 y E2). El pool Lavaseco inicia con un evento de mensaje (círculo con sobre) en el carril de E1. Los diez pasos del numeral 2.3 están numerados. La compuerta «¿Cuadra?» tiene salida sí (archivo) y no (reconteo). El carril de E2 termina en evento de fin. La flecha punteada es un flujo de mensaje.</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No es la suma de tramos separados. Que el cuaderno se complete en la noche, según la entrevista, describe la operación del negocio; no es el método con el que se obtuvo el 7,32 min.</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[40]),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[35]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7. Proceso operativo con el prototipo (notación BPMN 2.0) — Lavaseco La Manuelita. Elaboración propia. Pools distintos: Cliente, Lavaseco (carriles E1 y E2) y Gerente remota, unidos por flujos de mensaje (flecha punteada). El pool Lavaseco inicia con un evento de mensaje en el carril de E1. El panel no escribe.</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16.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17.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real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19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19</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[44], un cuestionario de 10 afirmaciones con escala de 1 a 5 que da un puntaje de 0 a 100. Un puntaje de 68 es el promedio, y uno de 80.3 o más se considera excelente [45], [46].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F.3),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IEEE, numerada por orden de aparición en el texto. La plantilla del programa pide además organización alfabética; se prioriza IEEE porque las citas en el cuerpo ya usan [1]–[51] en ese orden.</w:t>
      </w:r>
    </w:p>
    <w:p>
      <w:pPr>
        <w:pStyle w:val="Referencia"/>
      </w:pPr>
      <w:r>
        <w:t xml:space="preserve">[1] Departamento Administrativo Nacional de Estadística (DANE), “Encuesta de Micronegocios (EMICRON): boletín técnico 2024,” Bogotá, Colombia, 2025. [Online]. Available: https://www.dane.gov.co/files/operaciones/EMICRON/bol-EMICRON2024.pdf</w:t>
      </w:r>
    </w:p>
    <w:p>
      <w:pPr>
        <w:pStyle w:val="Referencia"/>
      </w:pPr>
      <w:r>
        <w:t xml:space="preserve">[2] C. Picón, R. C. Díaz Alonzo, A. Dávila, and D. Puello Cabarcas, “Digitalization and post-pandemic recovery of micro-businesses in Colombia,” Procedia Comput. Sci., vol. 231, pp. 566–570, 2024, doi: 10.1016/j.procs.2023.12.249.</w:t>
      </w:r>
    </w:p>
    <w:p>
      <w:pPr>
        <w:pStyle w:val="Referencia"/>
      </w:pPr>
      <w:r>
        <w:t xml:space="preserve">[3] Q. Fu, G. L. Nicholson, and J. M. Easton, “Understanding data quality in a data-driven industry context,” J. Ind. Inf. Integr., vol. 42, Art. no. 100729, 2024, doi: 10.1016/j.jii.2024.100729.</w:t>
      </w:r>
    </w:p>
    <w:p>
      <w:pPr>
        <w:pStyle w:val="Referencia"/>
      </w:pPr>
      <w:r>
        <w:t xml:space="preserve">[4] A. Lutfi, “Factors affecting the success of accounting information system from the lens of DeLone and McLean IS model,” Int. J. Inf. Manage. Data Insights, vol. 3, no. 2, Art. no. 100202, 2023, doi: 10.1016/j.jjimei.2023.100202.</w:t>
      </w:r>
    </w:p>
    <w:p>
      <w:pPr>
        <w:pStyle w:val="Referencia"/>
      </w:pPr>
      <w:r>
        <w:t xml:space="preserve">[5] H. Vo Van, A. M. Sarea, and I. Saleh, “Accounting information systems and organizational performance in the cloud computing era,” Sustainability Accounting, Manage. Policy J., 2024, doi: 10.1108/SAMPJ-01-2024-0044.</w:t>
      </w:r>
    </w:p>
    <w:p>
      <w:pPr>
        <w:pStyle w:val="Referencia"/>
      </w:pPr>
      <w:r>
        <w:t xml:space="preserve">[6] J. Wen, Z. Chen, X. Jin, and X. Liu, “Rise of the planet of serverless computing: A systematic review,” ACM Trans. Softw. Eng. Methodol., vol. 32, no. 5, Art. no. 131, 2023, doi: 10.1145/3579643.</w:t>
      </w:r>
    </w:p>
    <w:p>
      <w:pPr>
        <w:pStyle w:val="Referencia"/>
      </w:pPr>
      <w:r>
        <w:t xml:space="preserve">[7] J. Haas, R. Mogk, E. Yanakieva, A. Bieniusa, and M. Mezini, “LoRe: A programming model for verifiably safe local-first software,” ACM Trans. Program. Lang. Syst., vol. 46, no. 1, Art. no. 2, 2024, doi: 10.1145/3633769.</w:t>
      </w:r>
    </w:p>
    <w:p>
      <w:pPr>
        <w:pStyle w:val="Referencia"/>
      </w:pPr>
      <w:r>
        <w:t xml:space="preserve">[8] T. Stefanac and R. Colomo-Palacios, “NoOps: A multivocal literature review,” Procedia Comput. Sci., vol. 196, pp. 167–174, 2022, doi: 10.1016/j.procs.2021.12.002.</w:t>
      </w:r>
    </w:p>
    <w:p>
      <w:pPr>
        <w:pStyle w:val="Referencia"/>
      </w:pPr>
      <w:r>
        <w:t xml:space="preserve">[9] R. L. Portase, R. Tolas, and R. Potolea, “SmartLaundry: A real-time system for public laundry allocation in smart cities,” Sensors, vol. 24, no. 7, Art. no. 2159, 2024, doi: 10.3390/s24072159.</w:t>
      </w:r>
    </w:p>
    <w:p>
      <w:pPr>
        <w:pStyle w:val="Referencia"/>
      </w:pPr>
      <w:r>
        <w:t xml:space="preserve">[10] C. Mutia, F. Fauziah, I. Meiditra, F. Yuda, and R. Rahmansyah, “Designing a web-based laundry service application for Strala Laundry,” J-INTECH, vol. 13, no. 1, pp. 78–85, 2025, doi: 10.32664/j-intech.v13i01.1820.</w:t>
      </w:r>
    </w:p>
    <w:p>
      <w:pPr>
        <w:pStyle w:val="Referencia"/>
      </w:pPr>
      <w:r>
        <w:t xml:space="preserve">[11] C. Feldacker et al., “A community-based, mobile electronic medical record system app for high-quality, integrated antiretroviral therapy in Lilongwe, Malawi,” JMIR Formative Res., vol. 7, Art. no. e48671, 2023, doi: 10.2196/48671.</w:t>
      </w:r>
    </w:p>
    <w:p>
      <w:pPr>
        <w:pStyle w:val="Referencia"/>
      </w:pPr>
      <w:r>
        <w:t xml:space="preserve">[12] P. M. J. Delport, R. von Solms, and M. Gerber, “Methodological Guidelines for Design Science Research,” Procedia Comput. Sci., vol. 237, pp. 195–203, 2024, doi: 10.1016/j.procs.2024.05.096.</w:t>
      </w:r>
    </w:p>
    <w:p>
      <w:pPr>
        <w:pStyle w:val="Referencia"/>
      </w:pPr>
      <w:r>
        <w:t xml:space="preserve">[13] H. Dong, C. Zhang, G. Li, and H. Zhang, “Cloud-native databases: A survey,” IEEE Trans. Knowl. Data Eng., vol. 36, no. 12, pp. 7772–7791, 2024, doi: 10.1109/TKDE.2024.3397508.</w:t>
      </w:r>
    </w:p>
    <w:p>
      <w:pPr>
        <w:pStyle w:val="Referencia"/>
      </w:pPr>
      <w:r>
        <w:t xml:space="preserve">[14] E. D. Guyo and T. Hartmann, “Evaluating the efficiency and performance of data persistent systems in managing building and environmental data,” Adv. Eng. Informat., vol. 62, Art. no. 102582, 2024, doi: 10.1016/j.aei.2024.102582.</w:t>
      </w:r>
    </w:p>
    <w:p>
      <w:pPr>
        <w:pStyle w:val="Referencia"/>
      </w:pPr>
      <w:r>
        <w:t xml:space="preserve">[15] C. N. Klokmose, J. R. Eagan, and P. van Hardenberg, “MyWebstrates: Webstrates as local-first software,” in Proc. 37th Annu. ACM Symp. User Interface Softw. Technol., New York, NY, USA, 2024, doi: 10.1145/3654777.3676445.</w:t>
      </w:r>
    </w:p>
    <w:p>
      <w:pPr>
        <w:pStyle w:val="Referencia"/>
      </w:pPr>
      <w:r>
        <w:t xml:space="preserve">[16] G. Litt, N. Schiefer, J. Schickling, and D. Jackson, “Riffle: Reactive relational state for local-first applications,” in Proc. 36th Annu. ACM Symp. User Interface Softw. Technol., New York, NY, USA, 2023, doi: 10.1145/3586183.3606801.</w:t>
      </w:r>
    </w:p>
    <w:p>
      <w:pPr>
        <w:pStyle w:val="Referencia"/>
      </w:pPr>
      <w:r>
        <w:t xml:space="preserve">[17] M. Plazotta and M. Klettke, “Data architectures in cloud environments,” Datenbank-Spektrum, vol. 24, no. 3, pp. 243–247, 2024, doi: 10.1007/s13222-024-00490-5.</w:t>
      </w:r>
    </w:p>
    <w:p>
      <w:pPr>
        <w:pStyle w:val="Referencia"/>
      </w:pPr>
      <w:r>
        <w:t xml:space="preserve">[18] Rulinawaty et al., “Investigating the influence of the updated DeLone and McLean information system (IS) success model on the effectiveness of learning management system (LMS) implementation,” Cogent Educ., vol. 11, no. 1, Art. no. 2365611, 2024, doi: 10.1080/2331186X.2024.2365611.</w:t>
      </w:r>
    </w:p>
    <w:p>
      <w:pPr>
        <w:pStyle w:val="Referencia"/>
      </w:pPr>
      <w:r>
        <w:t xml:space="preserve">[19] T. Shioi, T. Kambayashi, S. Arakawa, R. Kurosawa, S. Hikida, and H. Yokota, “Read-safe snapshots: An abort/wait-free serializable read method for read-only transactions on mixed OLTP/OLAP workloads,” Inf. Syst., vol. 124, Art. no. 102385, 2024, doi: 10.1016/j.is.2024.102385.</w:t>
      </w:r>
    </w:p>
    <w:p>
      <w:pPr>
        <w:pStyle w:val="Referencia"/>
      </w:pPr>
      <w:r>
        <w:t xml:space="preserve">[20] Congreso de la República de Colombia, “Ley Estatutaria 1581 de 2012,” Diario Oficial, Oct. 17, 2012.</w:t>
      </w:r>
    </w:p>
    <w:p>
      <w:pPr>
        <w:pStyle w:val="Referencia"/>
      </w:pPr>
      <w:r>
        <w:t xml:space="preserve">[21] Presidencia de la República de Colombia, “Decreto 1377 de 2013,” Diario Oficial, Jun. 27, 2013.</w:t>
      </w:r>
    </w:p>
    <w:p>
      <w:pPr>
        <w:pStyle w:val="Referencia"/>
      </w:pPr>
      <w:r>
        <w:t xml:space="preserve">[22] Congreso de la República de Colombia, “Ley 527 de 1999,” Diario Oficial, Aug. 18, 1999.</w:t>
      </w:r>
    </w:p>
    <w:p>
      <w:pPr>
        <w:pStyle w:val="Referencia"/>
      </w:pPr>
      <w:r>
        <w:t xml:space="preserve">[23] G. Vial, “Understanding digital transformation: A review and a research agenda,” J. Strategic Inf. Syst., vol. 28, no. 2, pp. 118–144, 2019, doi: 10.1016/j.jsis.2019.01.003.</w:t>
      </w:r>
    </w:p>
    <w:p>
      <w:pPr>
        <w:pStyle w:val="Referencia"/>
      </w:pPr>
      <w:r>
        <w:t xml:space="preserve">[24] P. C. Verhoef et al., “Digital transformation: A multidisciplinary reflection and research agenda,” J. Bus. Res., vol. 122, pp. 889–901, 2021, doi: 10.1016/j.jbusres.2019.09.022.</w:t>
      </w:r>
    </w:p>
    <w:p>
      <w:pPr>
        <w:pStyle w:val="Referencia"/>
      </w:pPr>
      <w:r>
        <w:t xml:space="preserve">[25] J. A. Marino-Romero, P. R. Palos-Sánchez, and F. Velicia-Martín, “Evolution of digital transformation in SMEs management through a bibliometric analysis,” Technol. Forecasting Social Change, vol. 199, Art. no. 123014, 2024, doi: 10.1016/j.techfore.2023.123014.</w:t>
      </w:r>
    </w:p>
    <w:p>
      <w:pPr>
        <w:pStyle w:val="Referencia"/>
      </w:pPr>
      <w:r>
        <w:t xml:space="preserve">[26] G. H. Sagala and D. Öri, “Toward SMEs digital transformation success: A systematic literature review,” Inf. Syst. e-Bus. Manage., vol. 22, pp. 667–719, 2024, doi: 10.1007/s10257-024-00682-2.</w:t>
      </w:r>
    </w:p>
    <w:p>
      <w:pPr>
        <w:pStyle w:val="Referencia"/>
      </w:pPr>
      <w:r>
        <w:t xml:space="preserve">[27] S. Kraus et al., “Digital transformation in business and management research,” Int. J. Inf. Manage., vol. 63, Art. no. 102466, 2022, doi: 10.1016/j.ijinfomgt.2021.102466.</w:t>
      </w:r>
    </w:p>
    <w:p>
      <w:pPr>
        <w:pStyle w:val="Referencia"/>
      </w:pPr>
      <w:r>
        <w:t xml:space="preserve">[28] I. C. Melo et al., “Sustainable digital transformation in small and medium enterprises (SMEs): A review on performance,” Heliyon, vol. 9, no. 3, Art. no. e13908, 2023, doi: 10.1016/j.heliyon.2023.e13908.</w:t>
      </w:r>
    </w:p>
    <w:p>
      <w:pPr>
        <w:pStyle w:val="Referencia"/>
      </w:pPr>
      <w:r>
        <w:t xml:space="preserve">[29] R. Eller, P. Alford, A. Kallmünzer, and M. Peters, “Antecedents, consequences, and challenges of small and medium-sized enterprise digitalization,” J. Bus. Res., vol. 112, pp. 119–127, 2020, doi: 10.1016/j.jbusres.2020.03.004.</w:t>
      </w:r>
    </w:p>
    <w:p>
      <w:pPr>
        <w:pStyle w:val="Referencia"/>
      </w:pPr>
      <w:r>
        <w:t xml:space="preserve">[30] A. Garzoni, I. De Turi, G. Secundo, and P. Del Vecchio, “Fostering digital transformation of SMEs: A four levels approach,” Manage. Decis., vol. 58, no. 8, pp. 1543–1562, 2020, doi: 10.1108/MD-07-2019-0939.</w:t>
      </w:r>
    </w:p>
    <w:p>
      <w:pPr>
        <w:pStyle w:val="Referencia"/>
      </w:pPr>
      <w:r>
        <w:t xml:space="preserve">[31] M. Saad, “The influence of accounting information system adoption on business performance amid COVID-19,” Comput. Human Behav. Rep., vol. 10, Art. no. 100286, 2023, doi: 10.1016/j.chbr.2023.100286.</w:t>
      </w:r>
    </w:p>
    <w:p>
      <w:pPr>
        <w:pStyle w:val="Referencia"/>
      </w:pPr>
      <w:r>
        <w:t xml:space="preserve">[32] I. E. Diavastis, K. A. Chrysafis, and G. C. Papadopoulou, “Determinants of accounting information systems success,” Int. J. Financial Stud., vol. 12, no. 2, Art. no. 42, 2024, doi: 10.3390/ijfs12020042.</w:t>
      </w:r>
    </w:p>
    <w:p>
      <w:pPr>
        <w:pStyle w:val="Referencia"/>
      </w:pPr>
      <w:r>
        <w:t xml:space="preserve">[33] Y. E. Achyani, R. Aulianita, and A. Mukhayaroh, “Web-based laundry service information system using Rapid Application Development method,” Paradigma: J. Komput. Informatika, vol. 26, no. 1, pp. 17–23, 2024, doi: 10.31294/p.v26i1.3231.</w:t>
      </w:r>
    </w:p>
    <w:p>
      <w:pPr>
        <w:pStyle w:val="Referencia"/>
      </w:pPr>
      <w:r>
        <w:t xml:space="preserve">[34] N. Muhammad and M. N. N. Alfarid, “Implementation of web-based real-time laundry status tracking system,” J. Inf. Technol. Its Utilization, vol. 8, no. 2, pp. 45–51, 2025, doi: 10.56873/jitu.8.2.6039.</w:t>
      </w:r>
    </w:p>
    <w:p>
      <w:pPr>
        <w:pStyle w:val="Referencia"/>
      </w:pPr>
      <w:r>
        <w:t xml:space="preserve">[35] M. Kleppmann, A. Wiggins, P. van Hardenberg, and M. McGranaghan, “Local-first software: You own your data, in spite of the cloud,” in Proc. 2019 ACM SIGPLAN Onward!, New York, NY, USA, 2019, pp. 154–178, doi: 10.1145/3359591.3359737.</w:t>
      </w:r>
    </w:p>
    <w:p>
      <w:pPr>
        <w:pStyle w:val="Referencia"/>
      </w:pPr>
      <w:r>
        <w:t xml:space="preserve">[36] G. A. S. Cassel et al., “Serverless computing for Internet of Things: A systematic literature review,” Future Gener. Comput. Syst., vol. 128, pp. 299–316, 2022, doi: 10.1016/j.future.2021.10.020.</w:t>
      </w:r>
    </w:p>
    <w:p>
      <w:pPr>
        <w:pStyle w:val="Referencia"/>
      </w:pPr>
      <w:r>
        <w:t xml:space="preserve">[37] S. Deng et al., “Cloud-native computing: A survey from the perspective of services,” Proc. IEEE, vol. 112, no. 1, pp. 12–46, 2024, doi: 10.1109/JPROC.2024.3353855.</w:t>
      </w:r>
    </w:p>
    <w:p>
      <w:pPr>
        <w:pStyle w:val="Referencia"/>
      </w:pPr>
      <w:r>
        <w:t xml:space="preserve">[38] M. Haubenschild and V. Leis, “OLTP in the cloud: Architectures, tradeoffs, and cost,” VLDB J., vol. 34, no. 4, pp. 1–25, 2025, doi: 10.1007/s00778-025-00913-2.</w:t>
      </w:r>
    </w:p>
    <w:p>
      <w:pPr>
        <w:pStyle w:val="Referencia"/>
      </w:pPr>
      <w:r>
        <w:t xml:space="preserve">[39] A. R. Hevner, S. T. March, J. Park, and S. Ram, “Design science in information systems research,” MIS Q., vol. 28, no. 1, pp. 75–105, 2004, doi: 10.2307/25148625.</w:t>
      </w:r>
    </w:p>
    <w:p>
      <w:pPr>
        <w:pStyle w:val="Referencia"/>
      </w:pPr>
      <w:r>
        <w:t xml:space="preserve">[40] K. Peffers, T. Tuunanen, M. A. Rothenberger, and S. Chatterjee, “A design science research methodology for information systems research,” J. Manage. Inf. Syst., vol. 24, no. 3, pp. 45–77, 2007, doi: 10.2753/MIS0742-1222240302.</w:t>
      </w:r>
    </w:p>
    <w:p>
      <w:pPr>
        <w:pStyle w:val="Referencia"/>
      </w:pPr>
      <w:r>
        <w:t xml:space="preserve">[41] ISO/IEC/IEEE 29148:2018, Systems and software engineering — Life cycle processes — Requirements engineering, ISO, Geneva, Switzerland, 2018.</w:t>
      </w:r>
    </w:p>
    <w:p>
      <w:pPr>
        <w:pStyle w:val="Referencia"/>
      </w:pPr>
      <w:r>
        <w:t xml:space="preserve">[42] N. F. Rahmadani et al., “Design, development, and implementation of a desktop-based laundry management application for optimizing operational efficiency,” TIN: Terapan Informatika Nusantara, vol. 5, no. 9, pp. 504–518, 2025, doi: 10.47065/tin.v5i9.7045.</w:t>
      </w:r>
    </w:p>
    <w:p>
      <w:pPr>
        <w:pStyle w:val="Referencia"/>
      </w:pPr>
      <w:r>
        <w:t xml:space="preserve">[43] J. Hirs and F. Vargas, “Prioridades para la digitalización empresarial en América Latina y el Caribe,” Banco Interamericano de Desarrollo, Washington, DC, USA, 2023, doi: 10.18235/0005166.</w:t>
      </w:r>
    </w:p>
    <w:p>
      <w:pPr>
        <w:pStyle w:val="Referencia"/>
      </w:pPr>
      <w:r>
        <w:t xml:space="preserve">[44] J. Brooke, “SUS: A ‘quick and dirty’ usability scale,” in Usability Evaluation in Industry, P. W. Jordan, B. Thomas, B. A. Weerdmeester, and I. L. McClelland, Eds. London, U.K.: Taylor &amp; Francis, 1996, pp. 189–194.</w:t>
      </w:r>
    </w:p>
    <w:p>
      <w:pPr>
        <w:pStyle w:val="Referencia"/>
      </w:pPr>
      <w:r>
        <w:t xml:space="preserve">[45] A. Bangor, P. Kortum, and J. Miller, “Determining what individual SUS scores mean: Adding an adjective rating scale,” J. Usability Stud., vol. 4, no. 3, pp. 114–123, 2009.</w:t>
      </w:r>
    </w:p>
    <w:p>
      <w:pPr>
        <w:pStyle w:val="Referencia"/>
      </w:pPr>
      <w:r>
        <w:t xml:space="preserve">[46] J. Sauro and J. R. Lewis, Quantifying the User Experience: Practical Statistics for User Research, 2nd ed. Cambridge, MA, USA: Morgan Kaufmann, 2016.</w:t>
      </w:r>
    </w:p>
    <w:p>
      <w:pPr>
        <w:pStyle w:val="Referencia"/>
      </w:pPr>
      <w:r>
        <w:t xml:space="preserve">[47] ISO/IEC/IEEE 29119-1:2022, Software and systems engineering — Software testing — Part 1: General concepts, ISO, Geneva, Switzerland, 2022.</w:t>
      </w:r>
    </w:p>
    <w:p>
      <w:pPr>
        <w:pStyle w:val="Referencia"/>
      </w:pPr>
      <w:r>
        <w:t xml:space="preserve">[48] Consejo Nacional de Política Económica y Social (CONPES), “Documento CONPES 3975: Política nacional para la transformación digital e inteligencia artificial,” Departamento Nacional de Planeación, Bogotá, Colombia, 2019.</w:t>
      </w:r>
    </w:p>
    <w:p>
      <w:pPr>
        <w:pStyle w:val="Referencia"/>
      </w:pPr>
      <w:r>
        <w:t xml:space="preserve">[49] Parlamento Europeo y Consejo de la Unión Europea, “Reglamento (UE) 2016/679, de 27 de abril de 2016 (Reglamento general de protección de datos),” Diario Oficial de la Unión Europea, L 119, pp. 1–88, May 4, 2016.</w:t>
      </w:r>
    </w:p>
    <w:p>
      <w:pPr>
        <w:pStyle w:val="Referencia"/>
      </w:pPr>
      <w:r>
        <w:t xml:space="preserve">[50] Asamblea Nacional Constituyente, “Constitución Política de Colombia,” Gaceta Constitucional, no. 116, Jul. 20, 1991.</w:t>
      </w:r>
    </w:p>
    <w:p>
      <w:pPr>
        <w:pStyle w:val="Referencia"/>
      </w:pPr>
      <w:r>
        <w:t xml:space="preserve">[51] Congreso de la República de Colombia, “Ley 2101 de 2021, por medio de la cual se reduce la jornada laboral semanal de manera gradual,” Diario Oficial, Jul. 15,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[44].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jc w:val="center"/>
      <w:outlineLvl w:val="0"/>
    </w:pPr>
    <w:rPr>
      <w:rFonts w:ascii="Arial" w:hAnsi="Arial" w:cs="Arial" w:eastAsia="Arial"/>
      <w:caps/>
      <w:color w:val="auto"/>
      <w:sz w:val="24"/>
      <w:szCs w:val="24"/>
    </w:rPr>
  </w:style>
  <w:style w:type="paragraph" w:styleId="Heading2">
    <w:name w:val="Heading 2"/>
    <w:basedOn w:val="Normal"/>
    <w:next w:val="Cuerpo"/>
    <w:qFormat/>
    <w:pPr>
      <w:keepNext/>
      <w:keepLines/>
      <w:widowControl/>
      <w:jc w:val="left"/>
      <w:outlineLvl w:val="1"/>
    </w:pPr>
    <w:rPr>
      <w:rFonts w:ascii="Arial" w:hAnsi="Arial" w:cs="Arial" w:eastAsia="Arial"/>
      <w:caps/>
      <w:sz w:val="24"/>
      <w:szCs w:val="24"/>
    </w:rPr>
  </w:style>
  <w:style w:type="paragraph" w:styleId="Heading3">
    <w:name w:val="Heading 3"/>
    <w:basedOn w:val="Normal"/>
    <w:next w:val="Cuerpo"/>
    <w:qFormat/>
    <w:pPr>
      <w:keepNext/>
      <w:keepLines/>
      <w:widowControl/>
      <w:outlineLvl w:val="2"/>
    </w:pPr>
    <w:rPr>
      <w:rFonts w:ascii="Arial" w:hAnsi="Arial" w:cs="Arial" w:eastAsia="Arial"/>
      <w:b/>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