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CF74EB"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CF74EB"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CF74EB"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CF74EB"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CF74EB"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CF74EB"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5555466D" w:rsidR="002301C4" w:rsidRDefault="002301C4" w:rsidP="00F27306">
      <w:pPr>
        <w:tabs>
          <w:tab w:val="center" w:pos="1117"/>
          <w:tab w:val="center" w:pos="2180"/>
        </w:tabs>
        <w:ind w:left="0" w:right="0" w:firstLine="0"/>
        <w:jc w:val="left"/>
        <w:rPr>
          <w:rFonts w:eastAsia="Calibri"/>
        </w:rPr>
      </w:pPr>
      <w:proofErr w:type="spellStart"/>
      <w:r>
        <w:rPr>
          <w:rFonts w:eastAsia="Calibri"/>
        </w:rPr>
        <w:t>Ess</w:t>
      </w:r>
      <w:proofErr w:type="spellEnd"/>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77777777"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77777777"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bookmarkStart w:id="0" w:name="_GoBack"/>
      <w:bookmarkEnd w:id="0"/>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76A8C" w14:textId="77777777" w:rsidR="00CF74EB" w:rsidRDefault="00CF74EB">
      <w:pPr>
        <w:spacing w:after="0" w:line="240" w:lineRule="auto"/>
      </w:pPr>
      <w:r>
        <w:separator/>
      </w:r>
    </w:p>
  </w:endnote>
  <w:endnote w:type="continuationSeparator" w:id="0">
    <w:p w14:paraId="51F02B3C" w14:textId="77777777" w:rsidR="00CF74EB" w:rsidRDefault="00CF7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827FC" w14:textId="77777777" w:rsidR="00CF74EB" w:rsidRDefault="00CF74EB">
      <w:pPr>
        <w:spacing w:after="0" w:line="259" w:lineRule="auto"/>
        <w:ind w:left="0" w:right="0" w:firstLine="0"/>
        <w:jc w:val="left"/>
      </w:pPr>
      <w:r>
        <w:separator/>
      </w:r>
    </w:p>
  </w:footnote>
  <w:footnote w:type="continuationSeparator" w:id="0">
    <w:p w14:paraId="4B298467" w14:textId="77777777" w:rsidR="00CF74EB" w:rsidRDefault="00CF74EB">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A4D00"/>
    <w:rsid w:val="00BE5A58"/>
    <w:rsid w:val="00BF23F1"/>
    <w:rsid w:val="00BF2753"/>
    <w:rsid w:val="00C0790A"/>
    <w:rsid w:val="00C25F80"/>
    <w:rsid w:val="00C960A7"/>
    <w:rsid w:val="00CB730A"/>
    <w:rsid w:val="00CC4D26"/>
    <w:rsid w:val="00CE059B"/>
    <w:rsid w:val="00CF74EB"/>
    <w:rsid w:val="00D00917"/>
    <w:rsid w:val="00D06639"/>
    <w:rsid w:val="00D254A2"/>
    <w:rsid w:val="00D57063"/>
    <w:rsid w:val="00D63967"/>
    <w:rsid w:val="00DA12AC"/>
    <w:rsid w:val="00DA49CB"/>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2B94-3474-4017-BD0C-9E103321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7</Pages>
  <Words>2663</Words>
  <Characters>15180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22</cp:revision>
  <dcterms:created xsi:type="dcterms:W3CDTF">2018-08-19T04:17:00Z</dcterms:created>
  <dcterms:modified xsi:type="dcterms:W3CDTF">2018-09-12T12:26:00Z</dcterms:modified>
</cp:coreProperties>
</file>