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D263B" w14:textId="53307FC2" w:rsidR="00254606" w:rsidRPr="00513B02" w:rsidRDefault="00F845F0" w:rsidP="00DC3952">
      <w:pPr>
        <w:spacing w:after="120" w:line="240" w:lineRule="auto"/>
        <w:jc w:val="center"/>
        <w:rPr>
          <w:rFonts w:ascii="Times New Roman" w:hAnsi="Times New Roman" w:cs="Times New Roman"/>
          <w:sz w:val="48"/>
          <w:szCs w:val="48"/>
        </w:rPr>
      </w:pPr>
      <w:r>
        <w:rPr>
          <w:rFonts w:ascii="Times New Roman" w:hAnsi="Times New Roman" w:cs="Times New Roman"/>
          <w:sz w:val="48"/>
          <w:szCs w:val="48"/>
        </w:rPr>
        <w:t>Identifying Unique Phenotype Clusters in Diabetes Type 2</w:t>
      </w:r>
    </w:p>
    <w:p w14:paraId="31B1A9AC" w14:textId="73C99033" w:rsidR="00DC3952" w:rsidRDefault="00F845F0" w:rsidP="00DC3952">
      <w:pPr>
        <w:spacing w:after="240" w:line="240" w:lineRule="auto"/>
        <w:jc w:val="center"/>
        <w:rPr>
          <w:rFonts w:ascii="Times New Roman" w:hAnsi="Times New Roman" w:cs="Times New Roman"/>
          <w:sz w:val="22"/>
          <w:szCs w:val="22"/>
        </w:rPr>
      </w:pPr>
      <w:r>
        <w:rPr>
          <w:rFonts w:ascii="Times New Roman" w:hAnsi="Times New Roman" w:cs="Times New Roman"/>
          <w:b/>
          <w:bCs/>
          <w:sz w:val="22"/>
          <w:szCs w:val="22"/>
        </w:rPr>
        <w:t>Mike Anderson</w:t>
      </w:r>
    </w:p>
    <w:p w14:paraId="1F5AE7C0" w14:textId="6A17E4CE" w:rsidR="000B5FC6" w:rsidRPr="00DC3952" w:rsidRDefault="0052785A" w:rsidP="00DC3952">
      <w:pPr>
        <w:spacing w:after="480" w:line="240" w:lineRule="auto"/>
        <w:jc w:val="center"/>
        <w:rPr>
          <w:rFonts w:ascii="Times New Roman" w:hAnsi="Times New Roman" w:cs="Times New Roman"/>
          <w:sz w:val="20"/>
          <w:szCs w:val="20"/>
        </w:rPr>
      </w:pPr>
      <w:r w:rsidRPr="00DC3952">
        <w:rPr>
          <w:rFonts w:ascii="Times New Roman" w:hAnsi="Times New Roman" w:cs="Times New Roman"/>
          <w:i/>
          <w:iCs/>
          <w:sz w:val="20"/>
          <w:szCs w:val="20"/>
        </w:rPr>
        <w:t>Whi</w:t>
      </w:r>
      <w:r w:rsidR="00513B02" w:rsidRPr="00DC3952">
        <w:rPr>
          <w:rFonts w:ascii="Times New Roman" w:hAnsi="Times New Roman" w:cs="Times New Roman"/>
          <w:i/>
          <w:iCs/>
          <w:sz w:val="20"/>
          <w:szCs w:val="20"/>
        </w:rPr>
        <w:t>t</w:t>
      </w:r>
      <w:r w:rsidRPr="00DC3952">
        <w:rPr>
          <w:rFonts w:ascii="Times New Roman" w:hAnsi="Times New Roman" w:cs="Times New Roman"/>
          <w:i/>
          <w:iCs/>
          <w:sz w:val="20"/>
          <w:szCs w:val="20"/>
        </w:rPr>
        <w:t>ing School of Engineering, Johns Hopkins University</w:t>
      </w:r>
      <w:r w:rsidR="00513B02" w:rsidRPr="00DC3952">
        <w:rPr>
          <w:rFonts w:ascii="Times New Roman" w:hAnsi="Times New Roman" w:cs="Times New Roman"/>
          <w:sz w:val="20"/>
          <w:szCs w:val="20"/>
        </w:rPr>
        <w:t xml:space="preserve"> Baltimore, MD, USA</w:t>
      </w:r>
    </w:p>
    <w:p w14:paraId="4512A53D" w14:textId="527D0A4A" w:rsidR="00513B02" w:rsidRPr="00513B02" w:rsidRDefault="00513B02" w:rsidP="00513B02">
      <w:pPr>
        <w:spacing w:line="240" w:lineRule="auto"/>
        <w:rPr>
          <w:rFonts w:ascii="Times New Roman" w:hAnsi="Times New Roman" w:cs="Times New Roman"/>
          <w:b/>
          <w:bCs/>
        </w:rPr>
      </w:pPr>
      <w:r w:rsidRPr="00513B02">
        <w:rPr>
          <w:rFonts w:ascii="Times New Roman" w:hAnsi="Times New Roman" w:cs="Times New Roman"/>
          <w:b/>
          <w:bCs/>
        </w:rPr>
        <w:br w:type="page"/>
      </w:r>
    </w:p>
    <w:p w14:paraId="220095B9" w14:textId="77777777" w:rsidR="00513B02" w:rsidRPr="00513B02" w:rsidRDefault="00513B02" w:rsidP="00513B02">
      <w:pPr>
        <w:spacing w:after="0" w:line="240" w:lineRule="auto"/>
        <w:jc w:val="center"/>
        <w:rPr>
          <w:rFonts w:ascii="Times New Roman" w:hAnsi="Times New Roman" w:cs="Times New Roman"/>
          <w:b/>
          <w:bCs/>
        </w:rPr>
        <w:sectPr w:rsidR="00513B02" w:rsidRPr="00513B02" w:rsidSect="002A5C5F">
          <w:pgSz w:w="12240" w:h="15840"/>
          <w:pgMar w:top="1080" w:right="907" w:bottom="1080" w:left="907" w:header="720" w:footer="720" w:gutter="0"/>
          <w:cols w:space="720"/>
          <w:docGrid w:linePitch="360"/>
        </w:sectPr>
      </w:pPr>
    </w:p>
    <w:p w14:paraId="7DFF5590" w14:textId="3D4D7840" w:rsidR="000B5FC6" w:rsidRPr="00513B02" w:rsidRDefault="000B5FC6" w:rsidP="00DC3952">
      <w:pPr>
        <w:spacing w:after="0" w:line="240" w:lineRule="auto"/>
        <w:jc w:val="both"/>
        <w:rPr>
          <w:rFonts w:ascii="Times New Roman" w:hAnsi="Times New Roman" w:cs="Times New Roman"/>
          <w:sz w:val="20"/>
          <w:szCs w:val="20"/>
        </w:rPr>
      </w:pPr>
      <w:r w:rsidRPr="008E2073">
        <w:rPr>
          <w:rFonts w:ascii="Times New Roman" w:hAnsi="Times New Roman" w:cs="Times New Roman"/>
          <w:b/>
          <w:bCs/>
          <w:i/>
          <w:iCs/>
          <w:sz w:val="20"/>
          <w:szCs w:val="20"/>
        </w:rPr>
        <w:t>Abstract</w:t>
      </w:r>
      <w:r w:rsidR="00513B02" w:rsidRPr="00513B02">
        <w:rPr>
          <w:rFonts w:ascii="Times New Roman" w:hAnsi="Times New Roman" w:cs="Times New Roman"/>
          <w:b/>
          <w:bCs/>
          <w:sz w:val="20"/>
          <w:szCs w:val="20"/>
        </w:rPr>
        <w:t>—</w:t>
      </w:r>
      <w:r w:rsidR="00F845F0">
        <w:rPr>
          <w:rFonts w:ascii="Times New Roman" w:hAnsi="Times New Roman" w:cs="Times New Roman"/>
          <w:sz w:val="20"/>
          <w:szCs w:val="20"/>
        </w:rPr>
        <w:t>Diabetes Mellitus Type 2 is a pervasive, global metabolic disorder characterized by either a person’s inability to produce adequate insulin or a person’s resistance to insulin, leading to the inability to metabolize glucose effectively</w:t>
      </w:r>
      <w:r w:rsidR="00685C4C">
        <w:rPr>
          <w:rFonts w:ascii="Times New Roman" w:hAnsi="Times New Roman" w:cs="Times New Roman"/>
          <w:sz w:val="20"/>
          <w:szCs w:val="20"/>
        </w:rPr>
        <w:t xml:space="preserve"> [1]</w:t>
      </w:r>
      <w:r w:rsidR="00F845F0">
        <w:rPr>
          <w:rFonts w:ascii="Times New Roman" w:hAnsi="Times New Roman" w:cs="Times New Roman"/>
          <w:sz w:val="20"/>
          <w:szCs w:val="20"/>
        </w:rPr>
        <w:t xml:space="preserve">.  Because of this, </w:t>
      </w:r>
      <w:r w:rsidR="00C730AE">
        <w:rPr>
          <w:rFonts w:ascii="Times New Roman" w:hAnsi="Times New Roman" w:cs="Times New Roman"/>
          <w:sz w:val="20"/>
          <w:szCs w:val="20"/>
        </w:rPr>
        <w:t>people</w:t>
      </w:r>
      <w:r w:rsidR="00F845F0">
        <w:rPr>
          <w:rFonts w:ascii="Times New Roman" w:hAnsi="Times New Roman" w:cs="Times New Roman"/>
          <w:sz w:val="20"/>
          <w:szCs w:val="20"/>
        </w:rPr>
        <w:t xml:space="preserve"> with Diabetes Type 2 are at a higher risk of developing complications related to liver, heart, and kidney function, with </w:t>
      </w:r>
      <w:r w:rsidR="00E607F8">
        <w:rPr>
          <w:rFonts w:ascii="Times New Roman" w:hAnsi="Times New Roman" w:cs="Times New Roman"/>
          <w:sz w:val="20"/>
          <w:szCs w:val="20"/>
        </w:rPr>
        <w:t xml:space="preserve">disorder </w:t>
      </w:r>
      <w:r w:rsidR="00F845F0">
        <w:rPr>
          <w:rFonts w:ascii="Times New Roman" w:hAnsi="Times New Roman" w:cs="Times New Roman"/>
          <w:sz w:val="20"/>
          <w:szCs w:val="20"/>
        </w:rPr>
        <w:t>severity levels differing widely</w:t>
      </w:r>
      <w:r w:rsidR="00E607F8">
        <w:rPr>
          <w:rFonts w:ascii="Times New Roman" w:hAnsi="Times New Roman" w:cs="Times New Roman"/>
          <w:sz w:val="20"/>
          <w:szCs w:val="20"/>
        </w:rPr>
        <w:t>, making treatments inherently different based on the symptoms presented and observed</w:t>
      </w:r>
      <w:r w:rsidR="00F845F0">
        <w:rPr>
          <w:rFonts w:ascii="Times New Roman" w:hAnsi="Times New Roman" w:cs="Times New Roman"/>
          <w:sz w:val="20"/>
          <w:szCs w:val="20"/>
        </w:rPr>
        <w:t xml:space="preserve">.  This study seeks to understand the underlying phenotype sub-groups of Diabetes Type 2 </w:t>
      </w:r>
      <w:r w:rsidR="005A0799">
        <w:rPr>
          <w:rFonts w:ascii="Times New Roman" w:hAnsi="Times New Roman" w:cs="Times New Roman"/>
          <w:sz w:val="20"/>
          <w:szCs w:val="20"/>
        </w:rPr>
        <w:t xml:space="preserve">by </w:t>
      </w:r>
      <w:proofErr w:type="spellStart"/>
      <w:proofErr w:type="gramStart"/>
      <w:r w:rsidR="005A0799">
        <w:rPr>
          <w:rFonts w:ascii="Times New Roman" w:hAnsi="Times New Roman" w:cs="Times New Roman"/>
          <w:sz w:val="20"/>
          <w:szCs w:val="20"/>
        </w:rPr>
        <w:t>utilizing</w:t>
      </w:r>
      <w:r w:rsidR="00F845F0">
        <w:rPr>
          <w:rFonts w:ascii="Times New Roman" w:hAnsi="Times New Roman" w:cs="Times New Roman"/>
          <w:sz w:val="20"/>
          <w:szCs w:val="20"/>
        </w:rPr>
        <w:t>to</w:t>
      </w:r>
      <w:proofErr w:type="spellEnd"/>
      <w:proofErr w:type="gramEnd"/>
      <w:r w:rsidR="00F845F0">
        <w:rPr>
          <w:rFonts w:ascii="Times New Roman" w:hAnsi="Times New Roman" w:cs="Times New Roman"/>
          <w:sz w:val="20"/>
          <w:szCs w:val="20"/>
        </w:rPr>
        <w:t xml:space="preserve"> better inform physicians and researchers </w:t>
      </w:r>
      <w:r w:rsidR="00E256D3">
        <w:rPr>
          <w:rFonts w:ascii="Times New Roman" w:hAnsi="Times New Roman" w:cs="Times New Roman"/>
          <w:sz w:val="20"/>
          <w:szCs w:val="20"/>
        </w:rPr>
        <w:t>as it relates to prognosis, patient care, and drug discovery.</w:t>
      </w:r>
    </w:p>
    <w:p w14:paraId="59A90D64" w14:textId="10232BD7" w:rsidR="000B5FC6" w:rsidRPr="00513B02" w:rsidRDefault="000B5FC6" w:rsidP="00DC3952">
      <w:pPr>
        <w:spacing w:after="0" w:line="240" w:lineRule="auto"/>
        <w:jc w:val="both"/>
        <w:rPr>
          <w:rFonts w:ascii="Times New Roman" w:hAnsi="Times New Roman" w:cs="Times New Roman"/>
          <w:sz w:val="20"/>
          <w:szCs w:val="20"/>
        </w:rPr>
      </w:pPr>
      <w:r w:rsidRPr="008E2073">
        <w:rPr>
          <w:rFonts w:ascii="Times New Roman" w:hAnsi="Times New Roman" w:cs="Times New Roman"/>
          <w:b/>
          <w:bCs/>
          <w:i/>
          <w:iCs/>
          <w:sz w:val="20"/>
          <w:szCs w:val="20"/>
        </w:rPr>
        <w:t>Keywords</w:t>
      </w:r>
      <w:r w:rsidR="008E2073" w:rsidRPr="00513B02">
        <w:rPr>
          <w:rFonts w:ascii="Times New Roman" w:hAnsi="Times New Roman" w:cs="Times New Roman"/>
          <w:b/>
          <w:bCs/>
          <w:sz w:val="20"/>
          <w:szCs w:val="20"/>
        </w:rPr>
        <w:t>—</w:t>
      </w:r>
      <w:r w:rsidR="00E256D3">
        <w:rPr>
          <w:rFonts w:ascii="Times New Roman" w:hAnsi="Times New Roman" w:cs="Times New Roman"/>
          <w:sz w:val="20"/>
          <w:szCs w:val="20"/>
        </w:rPr>
        <w:t>diabetes, mellitus, type 2, phenotype, sub-group</w:t>
      </w:r>
    </w:p>
    <w:p w14:paraId="3B55BC99" w14:textId="5856A4DE" w:rsidR="000B5FC6" w:rsidRPr="002A5C5F" w:rsidRDefault="00513B02" w:rsidP="00DC3952">
      <w:pPr>
        <w:spacing w:before="240" w:after="80" w:line="240" w:lineRule="auto"/>
        <w:jc w:val="center"/>
        <w:rPr>
          <w:rFonts w:ascii="Times New Roman" w:hAnsi="Times New Roman" w:cs="Times New Roman"/>
          <w:b/>
          <w:bCs/>
          <w:smallCaps/>
          <w:sz w:val="20"/>
          <w:szCs w:val="20"/>
        </w:rPr>
      </w:pPr>
      <w:r w:rsidRPr="002A5C5F">
        <w:rPr>
          <w:rFonts w:ascii="Times New Roman" w:hAnsi="Times New Roman" w:cs="Times New Roman"/>
          <w:b/>
          <w:bCs/>
          <w:smallCaps/>
          <w:sz w:val="20"/>
          <w:szCs w:val="20"/>
        </w:rPr>
        <w:t xml:space="preserve">I. </w:t>
      </w:r>
      <w:r w:rsidR="00F845F0">
        <w:rPr>
          <w:rFonts w:ascii="Times New Roman" w:hAnsi="Times New Roman" w:cs="Times New Roman"/>
          <w:b/>
          <w:bCs/>
          <w:smallCaps/>
          <w:sz w:val="20"/>
          <w:szCs w:val="20"/>
        </w:rPr>
        <w:t>Introduction</w:t>
      </w:r>
    </w:p>
    <w:p w14:paraId="4704232B" w14:textId="0BED54DD" w:rsidR="000B5FC6" w:rsidRPr="000B5FC6" w:rsidRDefault="00303C09" w:rsidP="00DC3952">
      <w:pPr>
        <w:spacing w:after="0" w:line="240" w:lineRule="auto"/>
        <w:ind w:firstLine="360"/>
        <w:jc w:val="both"/>
        <w:rPr>
          <w:rFonts w:ascii="Times New Roman" w:hAnsi="Times New Roman" w:cs="Times New Roman"/>
          <w:sz w:val="20"/>
          <w:szCs w:val="20"/>
        </w:rPr>
      </w:pPr>
      <w:r w:rsidRPr="00303C09">
        <w:rPr>
          <w:rFonts w:ascii="Times New Roman" w:hAnsi="Times New Roman" w:cs="Times New Roman"/>
          <w:sz w:val="20"/>
          <w:szCs w:val="20"/>
        </w:rPr>
        <w:t>Diabetes mellitus is a group of metabolic disorders in which glucose is both underutilized and overproduced due to inappropriate gluconeogenesis and glycogenolysis, resulting in hyperglycemia</w:t>
      </w:r>
      <w:r w:rsidR="002947E7" w:rsidRPr="002947E7">
        <w:rPr>
          <w:rFonts w:ascii="Times New Roman" w:hAnsi="Times New Roman" w:cs="Times New Roman"/>
          <w:sz w:val="20"/>
          <w:szCs w:val="20"/>
        </w:rPr>
        <w:t>.</w:t>
      </w:r>
      <w:r>
        <w:rPr>
          <w:rFonts w:ascii="Times New Roman" w:hAnsi="Times New Roman" w:cs="Times New Roman"/>
          <w:sz w:val="20"/>
          <w:szCs w:val="20"/>
        </w:rPr>
        <w:t xml:space="preserve">  Type 2 diabetes is classified based on nonautoimmune progressive loss of adequate </w:t>
      </w:r>
      <w:r w:rsidRPr="00303C09">
        <w:rPr>
          <w:rFonts w:ascii="Times New Roman" w:hAnsi="Times New Roman" w:cs="Times New Roman"/>
          <w:sz w:val="20"/>
          <w:szCs w:val="20"/>
        </w:rPr>
        <w:t>β</w:t>
      </w:r>
      <w:r>
        <w:rPr>
          <w:rFonts w:ascii="Times New Roman" w:hAnsi="Times New Roman" w:cs="Times New Roman"/>
          <w:sz w:val="20"/>
          <w:szCs w:val="20"/>
        </w:rPr>
        <w:t xml:space="preserve">-cell insulin secretion, frequently on the background of insulin resistance </w:t>
      </w:r>
      <w:r>
        <w:rPr>
          <w:rFonts w:ascii="Times New Roman" w:hAnsi="Times New Roman" w:cs="Times New Roman"/>
          <w:sz w:val="20"/>
          <w:szCs w:val="20"/>
        </w:rPr>
        <w:t>[1]</w:t>
      </w:r>
      <w:r>
        <w:rPr>
          <w:rFonts w:ascii="Times New Roman" w:hAnsi="Times New Roman" w:cs="Times New Roman"/>
          <w:sz w:val="20"/>
          <w:szCs w:val="20"/>
        </w:rPr>
        <w:t>.  The standard tests for diabetes diagnosis are the A1C and plasma glucose tests, the former of which is used to determine a diabetes diagnosis for this study.</w:t>
      </w:r>
    </w:p>
    <w:p w14:paraId="3D9260EF" w14:textId="13A83970" w:rsidR="000B5FC6" w:rsidRDefault="00685C4C" w:rsidP="00DC3952">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According to the United States’ Centers for Disease Control and Prevention (CDC), approximately </w:t>
      </w:r>
      <w:r w:rsidR="001D3A35">
        <w:rPr>
          <w:rFonts w:ascii="Times New Roman" w:hAnsi="Times New Roman" w:cs="Times New Roman"/>
          <w:sz w:val="20"/>
          <w:szCs w:val="20"/>
        </w:rPr>
        <w:t>40.1 million Americans</w:t>
      </w:r>
      <w:r w:rsidR="00D244B9">
        <w:rPr>
          <w:rFonts w:ascii="Times New Roman" w:hAnsi="Times New Roman" w:cs="Times New Roman"/>
          <w:sz w:val="20"/>
          <w:szCs w:val="20"/>
        </w:rPr>
        <w:t>, or 12% of the population of the United States,</w:t>
      </w:r>
      <w:r w:rsidR="001D3A35">
        <w:rPr>
          <w:rFonts w:ascii="Times New Roman" w:hAnsi="Times New Roman" w:cs="Times New Roman"/>
          <w:sz w:val="20"/>
          <w:szCs w:val="20"/>
        </w:rPr>
        <w:t xml:space="preserve"> have either diagnosed or undiagnosed diabetes.  Of those with diabetes, </w:t>
      </w:r>
      <w:r w:rsidR="00C730AE">
        <w:rPr>
          <w:rFonts w:ascii="Times New Roman" w:hAnsi="Times New Roman" w:cs="Times New Roman"/>
          <w:sz w:val="20"/>
          <w:szCs w:val="20"/>
        </w:rPr>
        <w:t>90</w:t>
      </w:r>
      <w:r w:rsidR="00C50AB2">
        <w:rPr>
          <w:rFonts w:ascii="Times New Roman" w:hAnsi="Times New Roman" w:cs="Times New Roman"/>
          <w:sz w:val="20"/>
          <w:szCs w:val="20"/>
        </w:rPr>
        <w:t>-</w:t>
      </w:r>
      <w:r w:rsidR="001D3A35">
        <w:rPr>
          <w:rFonts w:ascii="Times New Roman" w:hAnsi="Times New Roman" w:cs="Times New Roman"/>
          <w:sz w:val="20"/>
          <w:szCs w:val="20"/>
        </w:rPr>
        <w:t xml:space="preserve">95% have Type 2 diabetes, making it an epidemiological imperative for research and </w:t>
      </w:r>
      <w:r w:rsidR="00D244B9">
        <w:rPr>
          <w:rFonts w:ascii="Times New Roman" w:hAnsi="Times New Roman" w:cs="Times New Roman"/>
          <w:sz w:val="20"/>
          <w:szCs w:val="20"/>
        </w:rPr>
        <w:t>treatment development [2].</w:t>
      </w:r>
    </w:p>
    <w:p w14:paraId="74BAABDD" w14:textId="16E74A17" w:rsidR="00D9233B" w:rsidRDefault="00D9233B" w:rsidP="00D9233B">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Originally</w:t>
      </w:r>
      <w:r w:rsidR="00C730AE">
        <w:rPr>
          <w:rFonts w:ascii="Times New Roman" w:hAnsi="Times New Roman" w:cs="Times New Roman"/>
          <w:sz w:val="20"/>
          <w:szCs w:val="20"/>
        </w:rPr>
        <w:t xml:space="preserve">, </w:t>
      </w:r>
      <w:r>
        <w:rPr>
          <w:rFonts w:ascii="Times New Roman" w:hAnsi="Times New Roman" w:cs="Times New Roman"/>
          <w:sz w:val="20"/>
          <w:szCs w:val="20"/>
        </w:rPr>
        <w:t xml:space="preserve">Type 2 </w:t>
      </w:r>
      <w:r w:rsidR="00C730AE">
        <w:rPr>
          <w:rFonts w:ascii="Times New Roman" w:hAnsi="Times New Roman" w:cs="Times New Roman"/>
          <w:sz w:val="20"/>
          <w:szCs w:val="20"/>
        </w:rPr>
        <w:t xml:space="preserve">diabetes </w:t>
      </w:r>
      <w:r>
        <w:rPr>
          <w:rFonts w:ascii="Times New Roman" w:hAnsi="Times New Roman" w:cs="Times New Roman"/>
          <w:sz w:val="20"/>
          <w:szCs w:val="20"/>
        </w:rPr>
        <w:t xml:space="preserve">was treated as a monolithic disorder with rigid treatment plans for the entire spectra of symptom presentations.  However, Ahlqvist et al. </w:t>
      </w:r>
      <w:r w:rsidR="00C50AB2">
        <w:rPr>
          <w:rFonts w:ascii="Times New Roman" w:hAnsi="Times New Roman" w:cs="Times New Roman"/>
          <w:sz w:val="20"/>
          <w:szCs w:val="20"/>
        </w:rPr>
        <w:t xml:space="preserve">(2018) </w:t>
      </w:r>
      <w:r>
        <w:rPr>
          <w:rFonts w:ascii="Times New Roman" w:hAnsi="Times New Roman" w:cs="Times New Roman"/>
          <w:sz w:val="20"/>
          <w:szCs w:val="20"/>
        </w:rPr>
        <w:t>found that there were sub-groups within Type 2 diabetes, leading to researchers and practitioners developing targeted treatment options based on a given patient’s biological subtype [3][4].</w:t>
      </w:r>
    </w:p>
    <w:p w14:paraId="690DCBD8" w14:textId="36A7DF95" w:rsidR="00D9233B" w:rsidRDefault="00D9233B" w:rsidP="00D9233B">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Chung et al. </w:t>
      </w:r>
      <w:r w:rsidR="00C50AB2">
        <w:rPr>
          <w:rFonts w:ascii="Times New Roman" w:hAnsi="Times New Roman" w:cs="Times New Roman"/>
          <w:sz w:val="20"/>
          <w:szCs w:val="20"/>
        </w:rPr>
        <w:t xml:space="preserve">(2020) </w:t>
      </w:r>
      <w:r>
        <w:rPr>
          <w:rFonts w:ascii="Times New Roman" w:hAnsi="Times New Roman" w:cs="Times New Roman"/>
          <w:sz w:val="20"/>
          <w:szCs w:val="20"/>
        </w:rPr>
        <w:t>also advocated for the use of precision diagnosis and treatments in 2020, further advancing the need to understand and research sub-types of diabetes [4].  Simple classification using biometric cutoffs were deemed inefficient and were not associated with any meaningful clinical outcomes [5].</w:t>
      </w:r>
    </w:p>
    <w:p w14:paraId="2964F8C0" w14:textId="07179DE8" w:rsidR="002947E7" w:rsidRPr="00513B02" w:rsidRDefault="00D9233B" w:rsidP="00DC3952">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This paper attempts to expand upon the findings of Ahlqvist et al. </w:t>
      </w:r>
      <w:r w:rsidR="00C50AB2">
        <w:rPr>
          <w:rFonts w:ascii="Times New Roman" w:hAnsi="Times New Roman" w:cs="Times New Roman"/>
          <w:sz w:val="20"/>
          <w:szCs w:val="20"/>
        </w:rPr>
        <w:t xml:space="preserve">(2018) </w:t>
      </w:r>
      <w:r>
        <w:rPr>
          <w:rFonts w:ascii="Times New Roman" w:hAnsi="Times New Roman" w:cs="Times New Roman"/>
          <w:sz w:val="20"/>
          <w:szCs w:val="20"/>
        </w:rPr>
        <w:t>by utilizing both biometric and self-</w:t>
      </w:r>
      <w:r>
        <w:rPr>
          <w:rFonts w:ascii="Times New Roman" w:hAnsi="Times New Roman" w:cs="Times New Roman"/>
          <w:sz w:val="20"/>
          <w:szCs w:val="20"/>
        </w:rPr>
        <w:t>reported statistics of individuals using the CDC’s NHANES database to further examine the sub-phenotype phenomena and determine if there are additional sub-types of Diabetes Type 2 within the United States’ population.</w:t>
      </w:r>
    </w:p>
    <w:p w14:paraId="3B13A083" w14:textId="2BAA5B87" w:rsidR="000B5FC6" w:rsidRPr="002947E7" w:rsidRDefault="00513B02" w:rsidP="002947E7">
      <w:pPr>
        <w:spacing w:before="240" w:after="80" w:line="240" w:lineRule="auto"/>
        <w:jc w:val="center"/>
        <w:rPr>
          <w:rFonts w:ascii="Times New Roman" w:hAnsi="Times New Roman" w:cs="Times New Roman"/>
          <w:b/>
          <w:bCs/>
          <w:smallCaps/>
          <w:sz w:val="20"/>
          <w:szCs w:val="20"/>
        </w:rPr>
      </w:pPr>
      <w:r w:rsidRPr="002A5C5F">
        <w:rPr>
          <w:rFonts w:ascii="Times New Roman" w:hAnsi="Times New Roman" w:cs="Times New Roman"/>
          <w:b/>
          <w:bCs/>
          <w:smallCaps/>
          <w:sz w:val="20"/>
          <w:szCs w:val="20"/>
        </w:rPr>
        <w:t xml:space="preserve">II. </w:t>
      </w:r>
      <w:r w:rsidR="00F845F0">
        <w:rPr>
          <w:rFonts w:ascii="Times New Roman" w:hAnsi="Times New Roman" w:cs="Times New Roman"/>
          <w:b/>
          <w:bCs/>
          <w:smallCaps/>
          <w:sz w:val="20"/>
          <w:szCs w:val="20"/>
        </w:rPr>
        <w:t>Related Work</w:t>
      </w:r>
    </w:p>
    <w:p w14:paraId="055EFF92" w14:textId="77777777" w:rsidR="00C50AB2" w:rsidRDefault="00C50AB2" w:rsidP="00C50AB2">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Ahlqvist et al. (2018) marked the first research into the sub-phenotype phenomena as it relates to diabetes, utilizing the Swedish All New Diabetics in Scania cohort and performing k-means and hierarchical clustering to determine the subgroups.  Using six variables (glutamate decarboxylase antibodies, age at diagnosis, BMI, HbA1C (A1C), and estimates of </w:t>
      </w:r>
      <w:r w:rsidRPr="00303C09">
        <w:rPr>
          <w:rFonts w:ascii="Times New Roman" w:hAnsi="Times New Roman" w:cs="Times New Roman"/>
          <w:sz w:val="20"/>
          <w:szCs w:val="20"/>
        </w:rPr>
        <w:t>β</w:t>
      </w:r>
      <w:r>
        <w:rPr>
          <w:rFonts w:ascii="Times New Roman" w:hAnsi="Times New Roman" w:cs="Times New Roman"/>
          <w:sz w:val="20"/>
          <w:szCs w:val="20"/>
        </w:rPr>
        <w:t>-cell</w:t>
      </w:r>
      <w:r>
        <w:rPr>
          <w:rFonts w:ascii="Times New Roman" w:hAnsi="Times New Roman" w:cs="Times New Roman"/>
          <w:sz w:val="20"/>
          <w:szCs w:val="20"/>
        </w:rPr>
        <w:t xml:space="preserve"> and insulin resistance, they were able to determine that there were five replicable clusters that had statistically significant characteristics and complication risks [3].</w:t>
      </w:r>
      <w:r w:rsidRPr="00C50AB2">
        <w:rPr>
          <w:rFonts w:ascii="Times New Roman" w:hAnsi="Times New Roman" w:cs="Times New Roman"/>
          <w:sz w:val="20"/>
          <w:szCs w:val="20"/>
        </w:rPr>
        <w:t xml:space="preserve"> </w:t>
      </w:r>
    </w:p>
    <w:p w14:paraId="21370949" w14:textId="529623A8" w:rsidR="00C50AB2" w:rsidRDefault="00C50AB2" w:rsidP="00C50AB2">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Chung et al. (2020) advocated for precision diagnostics and treatments in diabetes, citing that </w:t>
      </w:r>
      <w:proofErr w:type="gramStart"/>
      <w:r>
        <w:rPr>
          <w:rFonts w:ascii="Times New Roman" w:hAnsi="Times New Roman" w:cs="Times New Roman"/>
          <w:sz w:val="20"/>
          <w:szCs w:val="20"/>
        </w:rPr>
        <w:t>inadequately</w:t>
      </w:r>
      <w:proofErr w:type="gramEnd"/>
      <w:r>
        <w:rPr>
          <w:rFonts w:ascii="Times New Roman" w:hAnsi="Times New Roman" w:cs="Times New Roman"/>
          <w:sz w:val="20"/>
          <w:szCs w:val="20"/>
        </w:rPr>
        <w:t xml:space="preserve"> understanding and identifying the diverse </w:t>
      </w:r>
      <w:r w:rsidR="00880A16">
        <w:rPr>
          <w:rFonts w:ascii="Times New Roman" w:hAnsi="Times New Roman" w:cs="Times New Roman"/>
          <w:sz w:val="20"/>
          <w:szCs w:val="20"/>
        </w:rPr>
        <w:t>phenotypes associated with diabetes could limit disease prevention and treatment [4].</w:t>
      </w:r>
    </w:p>
    <w:p w14:paraId="3902537F" w14:textId="5921B898" w:rsidR="00C50AB2" w:rsidRPr="00513B02" w:rsidRDefault="00880A16" w:rsidP="00880A16">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Misra et al. (2023) furthered the need for advanced analytical methodologies in diabetes by performing a systematic review of 51 studies, ultimately determining that simple classification utilizing cutoffs and other simple metrics were not sufficient </w:t>
      </w:r>
      <w:proofErr w:type="gramStart"/>
      <w:r>
        <w:rPr>
          <w:rFonts w:ascii="Times New Roman" w:hAnsi="Times New Roman" w:cs="Times New Roman"/>
          <w:sz w:val="20"/>
          <w:szCs w:val="20"/>
        </w:rPr>
        <w:t>improve</w:t>
      </w:r>
      <w:proofErr w:type="gramEnd"/>
      <w:r>
        <w:rPr>
          <w:rFonts w:ascii="Times New Roman" w:hAnsi="Times New Roman" w:cs="Times New Roman"/>
          <w:sz w:val="20"/>
          <w:szCs w:val="20"/>
        </w:rPr>
        <w:t xml:space="preserve"> clinical outcomes and that advanced methodologies relating to data science and machine learning are needed [5].</w:t>
      </w:r>
    </w:p>
    <w:p w14:paraId="184B7C76" w14:textId="11323318" w:rsidR="00E37CB1" w:rsidRDefault="00513B02" w:rsidP="002947E7">
      <w:pPr>
        <w:spacing w:before="240" w:after="80" w:line="240" w:lineRule="auto"/>
        <w:jc w:val="center"/>
        <w:rPr>
          <w:rFonts w:ascii="Times New Roman" w:hAnsi="Times New Roman" w:cs="Times New Roman"/>
          <w:b/>
          <w:bCs/>
          <w:smallCaps/>
          <w:sz w:val="20"/>
          <w:szCs w:val="20"/>
        </w:rPr>
      </w:pPr>
      <w:r w:rsidRPr="002A5C5F">
        <w:rPr>
          <w:rFonts w:ascii="Times New Roman" w:hAnsi="Times New Roman" w:cs="Times New Roman"/>
          <w:b/>
          <w:bCs/>
          <w:smallCaps/>
          <w:sz w:val="20"/>
          <w:szCs w:val="20"/>
        </w:rPr>
        <w:t xml:space="preserve">III. </w:t>
      </w:r>
      <w:r w:rsidR="00F845F0">
        <w:rPr>
          <w:rFonts w:ascii="Times New Roman" w:hAnsi="Times New Roman" w:cs="Times New Roman"/>
          <w:b/>
          <w:bCs/>
          <w:smallCaps/>
          <w:sz w:val="20"/>
          <w:szCs w:val="20"/>
        </w:rPr>
        <w:t>Methods</w:t>
      </w:r>
    </w:p>
    <w:p w14:paraId="2487619D" w14:textId="25D01297" w:rsidR="00880A16" w:rsidRPr="00880A16" w:rsidRDefault="00880A16" w:rsidP="00880A16">
      <w:pPr>
        <w:spacing w:before="200" w:after="0" w:line="240" w:lineRule="auto"/>
        <w:jc w:val="both"/>
        <w:rPr>
          <w:rFonts w:ascii="Times New Roman" w:hAnsi="Times New Roman" w:cs="Times New Roman"/>
          <w:b/>
          <w:bCs/>
          <w:i/>
          <w:iCs/>
          <w:sz w:val="20"/>
          <w:szCs w:val="20"/>
        </w:rPr>
      </w:pPr>
      <w:r w:rsidRPr="002A5C5F">
        <w:rPr>
          <w:rFonts w:ascii="Times New Roman" w:hAnsi="Times New Roman" w:cs="Times New Roman"/>
          <w:b/>
          <w:bCs/>
          <w:i/>
          <w:iCs/>
          <w:sz w:val="20"/>
          <w:szCs w:val="20"/>
        </w:rPr>
        <w:t xml:space="preserve">A. </w:t>
      </w:r>
      <w:r>
        <w:rPr>
          <w:rFonts w:ascii="Times New Roman" w:hAnsi="Times New Roman" w:cs="Times New Roman"/>
          <w:b/>
          <w:bCs/>
          <w:i/>
          <w:iCs/>
          <w:sz w:val="20"/>
          <w:szCs w:val="20"/>
        </w:rPr>
        <w:t>Data Collection and Processing</w:t>
      </w:r>
    </w:p>
    <w:p w14:paraId="5DF3EE4F" w14:textId="77777777" w:rsidR="00685C4C" w:rsidRDefault="00685C4C" w:rsidP="00685C4C">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Data was collected from the Centers for Disease Control and Prevention (CDC)’s National Health and Nutrition Examination Survey (NHANES) for the 2021 to 2023 cohort, consisting of 11,933 respondents ranging in age from 0 to 150, both males and females.  Of those, 6,715 respondents had valid glycohemoglobin test </w:t>
      </w:r>
      <w:proofErr w:type="gramStart"/>
      <w:r>
        <w:rPr>
          <w:rFonts w:ascii="Times New Roman" w:hAnsi="Times New Roman" w:cs="Times New Roman"/>
          <w:sz w:val="20"/>
          <w:szCs w:val="20"/>
        </w:rPr>
        <w:t>results</w:t>
      </w:r>
      <w:proofErr w:type="gramEnd"/>
      <w:r>
        <w:rPr>
          <w:rFonts w:ascii="Times New Roman" w:hAnsi="Times New Roman" w:cs="Times New Roman"/>
          <w:sz w:val="20"/>
          <w:szCs w:val="20"/>
        </w:rPr>
        <w:t xml:space="preserve"> and 3,672 respondents had valid fasting plasma glucose tests.</w:t>
      </w:r>
    </w:p>
    <w:p w14:paraId="35E01B49" w14:textId="04759C1B" w:rsidR="00685C4C" w:rsidRDefault="00685C4C" w:rsidP="00685C4C">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Of the total respondents with valid glycohemoglobin (A1C) or fasting plasma glucose tests, 832 respondents met the criteria of having an A1C greater than or equal to 6.5% or a fasting glucose level of 126 mg/dL, constituting a clinical diagnosis of diabetes [1].</w:t>
      </w:r>
    </w:p>
    <w:p w14:paraId="74758F29" w14:textId="4392F5A0" w:rsidR="00880A16" w:rsidRDefault="00880A16" w:rsidP="00685C4C">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After filtering the data to only those patients with </w:t>
      </w:r>
      <w:proofErr w:type="gramStart"/>
      <w:r>
        <w:rPr>
          <w:rFonts w:ascii="Times New Roman" w:hAnsi="Times New Roman" w:cs="Times New Roman"/>
          <w:sz w:val="20"/>
          <w:szCs w:val="20"/>
        </w:rPr>
        <w:t>a clinical</w:t>
      </w:r>
      <w:proofErr w:type="gramEnd"/>
      <w:r>
        <w:rPr>
          <w:rFonts w:ascii="Times New Roman" w:hAnsi="Times New Roman" w:cs="Times New Roman"/>
          <w:sz w:val="20"/>
          <w:szCs w:val="20"/>
        </w:rPr>
        <w:t xml:space="preserve"> diagnosis for diabetes, standard data preprocessing </w:t>
      </w:r>
      <w:r>
        <w:rPr>
          <w:rFonts w:ascii="Times New Roman" w:hAnsi="Times New Roman" w:cs="Times New Roman"/>
          <w:sz w:val="20"/>
          <w:szCs w:val="20"/>
        </w:rPr>
        <w:lastRenderedPageBreak/>
        <w:t>techniques, coupled with NHANES sampling recommendations, were used to clean the data for machine learning purposes, including null removal, null imputation, and scaling.  The resulting dataset consisted of 832 observations with 37 columns consisting of self-reported survey information, demographic information, and laboratory results.</w:t>
      </w:r>
    </w:p>
    <w:p w14:paraId="390AD9CA" w14:textId="1B7E3B9F" w:rsidR="00880A16" w:rsidRPr="00880A16" w:rsidRDefault="00880A16" w:rsidP="00880A16">
      <w:pPr>
        <w:spacing w:before="200" w:after="0" w:line="24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B</w:t>
      </w:r>
      <w:r w:rsidRPr="002A5C5F">
        <w:rPr>
          <w:rFonts w:ascii="Times New Roman" w:hAnsi="Times New Roman" w:cs="Times New Roman"/>
          <w:b/>
          <w:bCs/>
          <w:i/>
          <w:iCs/>
          <w:sz w:val="20"/>
          <w:szCs w:val="20"/>
        </w:rPr>
        <w:t xml:space="preserve">. </w:t>
      </w:r>
      <w:r>
        <w:rPr>
          <w:rFonts w:ascii="Times New Roman" w:hAnsi="Times New Roman" w:cs="Times New Roman"/>
          <w:b/>
          <w:bCs/>
          <w:i/>
          <w:iCs/>
          <w:sz w:val="20"/>
          <w:szCs w:val="20"/>
        </w:rPr>
        <w:t>Isolation Forest Anomaly Removal</w:t>
      </w:r>
    </w:p>
    <w:p w14:paraId="7309BC15" w14:textId="19AA2901" w:rsidR="00880A16" w:rsidRDefault="00880A16" w:rsidP="00F9758D">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An isolation forest was used to remove anomalous outliers from the data, lest the data be skewed or misrepresentative for clustering.  To prevent self-reported </w:t>
      </w:r>
      <w:r w:rsidR="00F9758D">
        <w:rPr>
          <w:rFonts w:ascii="Times New Roman" w:hAnsi="Times New Roman" w:cs="Times New Roman"/>
          <w:sz w:val="20"/>
          <w:szCs w:val="20"/>
        </w:rPr>
        <w:t>data from affecting the outlier removal process, only biometric results were used for outlier removal.  An isolation forest with 200 estimators and a contamination parameter of 0.05 was used to retain 95% of the data.</w:t>
      </w:r>
    </w:p>
    <w:p w14:paraId="6695F230" w14:textId="46138825" w:rsidR="00F9758D" w:rsidRPr="00880A16" w:rsidRDefault="00F9758D" w:rsidP="00F9758D">
      <w:pPr>
        <w:spacing w:before="200" w:after="0" w:line="24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C</w:t>
      </w:r>
      <w:r w:rsidRPr="002A5C5F">
        <w:rPr>
          <w:rFonts w:ascii="Times New Roman" w:hAnsi="Times New Roman" w:cs="Times New Roman"/>
          <w:b/>
          <w:bCs/>
          <w:i/>
          <w:iCs/>
          <w:sz w:val="20"/>
          <w:szCs w:val="20"/>
        </w:rPr>
        <w:t xml:space="preserve">. </w:t>
      </w:r>
      <w:r>
        <w:rPr>
          <w:rFonts w:ascii="Times New Roman" w:hAnsi="Times New Roman" w:cs="Times New Roman"/>
          <w:b/>
          <w:bCs/>
          <w:i/>
          <w:iCs/>
          <w:sz w:val="20"/>
          <w:szCs w:val="20"/>
        </w:rPr>
        <w:t>UMAP Dimensionality Reduction</w:t>
      </w:r>
    </w:p>
    <w:p w14:paraId="04C4CA18" w14:textId="4E6FA7D5" w:rsidR="00F9758D" w:rsidRDefault="00F9758D" w:rsidP="00F9758D">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Uniform Manifold Approximation and Projection (UMAP) was used to reduce the number of dimensions in the data while keeping local relationships intact.  The 37 original features were condensed to a </w:t>
      </w:r>
      <w:proofErr w:type="gramStart"/>
      <w:r>
        <w:rPr>
          <w:rFonts w:ascii="Times New Roman" w:hAnsi="Times New Roman" w:cs="Times New Roman"/>
          <w:sz w:val="20"/>
          <w:szCs w:val="20"/>
        </w:rPr>
        <w:t>10 component</w:t>
      </w:r>
      <w:proofErr w:type="gramEnd"/>
      <w:r>
        <w:rPr>
          <w:rFonts w:ascii="Times New Roman" w:hAnsi="Times New Roman" w:cs="Times New Roman"/>
          <w:sz w:val="20"/>
          <w:szCs w:val="20"/>
        </w:rPr>
        <w:t xml:space="preserve"> manifold with an exceptionally low minimum distance to allow the algorithm to more densely aggregate the data points in the final embedding.</w:t>
      </w:r>
    </w:p>
    <w:p w14:paraId="4DC47A14" w14:textId="0C68AB64" w:rsidR="00F9758D" w:rsidRPr="00880A16" w:rsidRDefault="00F9758D" w:rsidP="00F9758D">
      <w:pPr>
        <w:spacing w:before="200" w:after="0" w:line="24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D</w:t>
      </w:r>
      <w:r w:rsidRPr="002A5C5F">
        <w:rPr>
          <w:rFonts w:ascii="Times New Roman" w:hAnsi="Times New Roman" w:cs="Times New Roman"/>
          <w:b/>
          <w:bCs/>
          <w:i/>
          <w:iCs/>
          <w:sz w:val="20"/>
          <w:szCs w:val="20"/>
        </w:rPr>
        <w:t xml:space="preserve">. </w:t>
      </w:r>
      <w:r>
        <w:rPr>
          <w:rFonts w:ascii="Times New Roman" w:hAnsi="Times New Roman" w:cs="Times New Roman"/>
          <w:b/>
          <w:bCs/>
          <w:i/>
          <w:iCs/>
          <w:sz w:val="20"/>
          <w:szCs w:val="20"/>
        </w:rPr>
        <w:t>Gaussian Mixture Models (GMM)</w:t>
      </w:r>
    </w:p>
    <w:p w14:paraId="36F1E11B" w14:textId="00537246" w:rsidR="005A0799" w:rsidRDefault="00F9758D" w:rsidP="00F9758D">
      <w:pPr>
        <w:spacing w:after="0" w:line="240" w:lineRule="auto"/>
        <w:ind w:firstLine="360"/>
        <w:jc w:val="both"/>
        <w:rPr>
          <w:rFonts w:ascii="Times New Roman" w:hAnsi="Times New Roman" w:cs="Times New Roman"/>
          <w:i/>
          <w:iCs/>
          <w:sz w:val="20"/>
          <w:szCs w:val="20"/>
        </w:rPr>
      </w:pPr>
      <w:r>
        <w:rPr>
          <w:rFonts w:ascii="Times New Roman" w:hAnsi="Times New Roman" w:cs="Times New Roman"/>
          <w:sz w:val="20"/>
          <w:szCs w:val="20"/>
        </w:rPr>
        <w:t xml:space="preserve">Clustering was performed using </w:t>
      </w:r>
      <w:proofErr w:type="gramStart"/>
      <w:r>
        <w:rPr>
          <w:rFonts w:ascii="Times New Roman" w:hAnsi="Times New Roman" w:cs="Times New Roman"/>
          <w:sz w:val="20"/>
          <w:szCs w:val="20"/>
        </w:rPr>
        <w:t>the UMAP</w:t>
      </w:r>
      <w:proofErr w:type="gramEnd"/>
      <w:r>
        <w:rPr>
          <w:rFonts w:ascii="Times New Roman" w:hAnsi="Times New Roman" w:cs="Times New Roman"/>
          <w:sz w:val="20"/>
          <w:szCs w:val="20"/>
        </w:rPr>
        <w:t xml:space="preserve"> embedded data via Gaussian Mixture Models (GMM).  Different numbers of components were tested from 1 to 20, with each iteration tracking Bayesian Information Criterion (BIC), </w:t>
      </w:r>
      <w:r w:rsidR="005A0799">
        <w:rPr>
          <w:rFonts w:ascii="Times New Roman" w:hAnsi="Times New Roman" w:cs="Times New Roman"/>
          <w:sz w:val="20"/>
          <w:szCs w:val="20"/>
        </w:rPr>
        <w:t>Akaike Information Criterion (AIC), and Silhouette Score, each of which show a different level of cluster stability and separation.</w:t>
      </w:r>
      <w:r w:rsidR="00EB4A4E">
        <w:rPr>
          <w:rFonts w:ascii="Times New Roman" w:hAnsi="Times New Roman" w:cs="Times New Roman"/>
          <w:sz w:val="20"/>
          <w:szCs w:val="20"/>
        </w:rPr>
        <w:t xml:space="preserve">  Model will be selected based on best overall score and separation of clusters.  Models will be run through multiple experiments with different random seeds for reproducibility.</w:t>
      </w:r>
      <w:r w:rsidR="005A0799">
        <w:rPr>
          <w:rFonts w:ascii="Times New Roman" w:hAnsi="Times New Roman" w:cs="Times New Roman"/>
          <w:sz w:val="20"/>
          <w:szCs w:val="20"/>
        </w:rPr>
        <w:br/>
      </w:r>
      <w:r w:rsidR="00EB4A4E">
        <w:rPr>
          <w:rFonts w:ascii="Times New Roman" w:hAnsi="Times New Roman" w:cs="Times New Roman"/>
          <w:i/>
          <w:iCs/>
          <w:sz w:val="20"/>
          <w:szCs w:val="20"/>
        </w:rPr>
        <w:t>PLACEHOLDER FOR BEST MODEL</w:t>
      </w:r>
    </w:p>
    <w:p w14:paraId="4928FFA1" w14:textId="78E6BD56" w:rsidR="005A0799" w:rsidRPr="00880A16" w:rsidRDefault="005A0799" w:rsidP="005A0799">
      <w:pPr>
        <w:spacing w:before="200" w:after="0" w:line="24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E</w:t>
      </w:r>
      <w:r w:rsidRPr="002A5C5F">
        <w:rPr>
          <w:rFonts w:ascii="Times New Roman" w:hAnsi="Times New Roman" w:cs="Times New Roman"/>
          <w:b/>
          <w:bCs/>
          <w:i/>
          <w:iCs/>
          <w:sz w:val="20"/>
          <w:szCs w:val="20"/>
        </w:rPr>
        <w:t xml:space="preserve">. </w:t>
      </w:r>
      <w:proofErr w:type="spellStart"/>
      <w:r>
        <w:rPr>
          <w:rFonts w:ascii="Times New Roman" w:hAnsi="Times New Roman" w:cs="Times New Roman"/>
          <w:b/>
          <w:bCs/>
          <w:i/>
          <w:iCs/>
          <w:sz w:val="20"/>
          <w:szCs w:val="20"/>
        </w:rPr>
        <w:t>XGBoost</w:t>
      </w:r>
      <w:proofErr w:type="spellEnd"/>
      <w:r>
        <w:rPr>
          <w:rFonts w:ascii="Times New Roman" w:hAnsi="Times New Roman" w:cs="Times New Roman"/>
          <w:b/>
          <w:bCs/>
          <w:i/>
          <w:iCs/>
          <w:sz w:val="20"/>
          <w:szCs w:val="20"/>
        </w:rPr>
        <w:t xml:space="preserve"> Classification</w:t>
      </w:r>
    </w:p>
    <w:p w14:paraId="6B087591" w14:textId="1EE82FCA" w:rsidR="00EB4A4E" w:rsidRDefault="005A0799" w:rsidP="005A0799">
      <w:pPr>
        <w:spacing w:after="0" w:line="240" w:lineRule="auto"/>
        <w:jc w:val="both"/>
        <w:rPr>
          <w:rFonts w:ascii="Times New Roman" w:hAnsi="Times New Roman" w:cs="Times New Roman"/>
          <w:sz w:val="20"/>
          <w:szCs w:val="20"/>
        </w:rPr>
      </w:pPr>
      <w:r>
        <w:rPr>
          <w:rFonts w:ascii="Times New Roman" w:hAnsi="Times New Roman" w:cs="Times New Roman"/>
          <w:sz w:val="20"/>
          <w:szCs w:val="20"/>
        </w:rPr>
        <w:tab/>
      </w:r>
      <w:proofErr w:type="spellStart"/>
      <w:r>
        <w:rPr>
          <w:rFonts w:ascii="Times New Roman" w:hAnsi="Times New Roman" w:cs="Times New Roman"/>
          <w:sz w:val="20"/>
          <w:szCs w:val="20"/>
        </w:rPr>
        <w:t>XGBoost</w:t>
      </w:r>
      <w:proofErr w:type="spellEnd"/>
      <w:r>
        <w:rPr>
          <w:rFonts w:ascii="Times New Roman" w:hAnsi="Times New Roman" w:cs="Times New Roman"/>
          <w:sz w:val="20"/>
          <w:szCs w:val="20"/>
        </w:rPr>
        <w:t xml:space="preserve"> Multi-class Classification will be used to determine which features influence the cluster assignments</w:t>
      </w:r>
      <w:r w:rsidR="00EB4A4E">
        <w:rPr>
          <w:rFonts w:ascii="Times New Roman" w:hAnsi="Times New Roman" w:cs="Times New Roman"/>
          <w:sz w:val="20"/>
          <w:szCs w:val="20"/>
        </w:rPr>
        <w:t>.</w:t>
      </w:r>
    </w:p>
    <w:p w14:paraId="366737FB" w14:textId="7467532C" w:rsidR="00EB4A4E" w:rsidRPr="00EB4A4E" w:rsidRDefault="00EB4A4E" w:rsidP="005A0799">
      <w:pPr>
        <w:spacing w:after="0" w:line="240" w:lineRule="auto"/>
        <w:jc w:val="both"/>
        <w:rPr>
          <w:rFonts w:ascii="Times New Roman" w:hAnsi="Times New Roman" w:cs="Times New Roman"/>
          <w:i/>
          <w:iCs/>
          <w:sz w:val="20"/>
          <w:szCs w:val="20"/>
        </w:rPr>
      </w:pPr>
      <w:r>
        <w:rPr>
          <w:rFonts w:ascii="Times New Roman" w:hAnsi="Times New Roman" w:cs="Times New Roman"/>
          <w:i/>
          <w:iCs/>
          <w:sz w:val="20"/>
          <w:szCs w:val="20"/>
        </w:rPr>
        <w:t>PLACEHOLDER</w:t>
      </w:r>
    </w:p>
    <w:p w14:paraId="4EE3A512" w14:textId="3E927D98" w:rsidR="00EB4A4E" w:rsidRPr="00880A16" w:rsidRDefault="00EB4A4E" w:rsidP="00EB4A4E">
      <w:pPr>
        <w:spacing w:before="200" w:after="0" w:line="24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F</w:t>
      </w:r>
      <w:r w:rsidRPr="002A5C5F">
        <w:rPr>
          <w:rFonts w:ascii="Times New Roman" w:hAnsi="Times New Roman" w:cs="Times New Roman"/>
          <w:b/>
          <w:bCs/>
          <w:i/>
          <w:iCs/>
          <w:sz w:val="20"/>
          <w:szCs w:val="20"/>
        </w:rPr>
        <w:t xml:space="preserve">. </w:t>
      </w:r>
      <w:r>
        <w:rPr>
          <w:rFonts w:ascii="Times New Roman" w:hAnsi="Times New Roman" w:cs="Times New Roman"/>
          <w:b/>
          <w:bCs/>
          <w:i/>
          <w:iCs/>
          <w:sz w:val="20"/>
          <w:szCs w:val="20"/>
        </w:rPr>
        <w:t>LIME/SHAP</w:t>
      </w:r>
    </w:p>
    <w:p w14:paraId="0E4077E9" w14:textId="099A2A14" w:rsidR="00EB4A4E" w:rsidRDefault="00EB4A4E" w:rsidP="00EB4A4E">
      <w:pPr>
        <w:spacing w:after="0" w:line="240" w:lineRule="auto"/>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LIME and SHAP algorithms will be used to further validate the features that most readily predict cluster assignments.</w:t>
      </w:r>
    </w:p>
    <w:p w14:paraId="05B6B82E" w14:textId="6B7E1154" w:rsidR="00F9758D" w:rsidRPr="00EB4A4E" w:rsidRDefault="00EB4A4E" w:rsidP="00EB4A4E">
      <w:pPr>
        <w:spacing w:after="0" w:line="240" w:lineRule="auto"/>
        <w:jc w:val="both"/>
        <w:rPr>
          <w:rFonts w:ascii="Times New Roman" w:hAnsi="Times New Roman" w:cs="Times New Roman"/>
          <w:i/>
          <w:iCs/>
          <w:sz w:val="20"/>
          <w:szCs w:val="20"/>
        </w:rPr>
      </w:pPr>
      <w:r>
        <w:rPr>
          <w:rFonts w:ascii="Times New Roman" w:hAnsi="Times New Roman" w:cs="Times New Roman"/>
          <w:i/>
          <w:iCs/>
          <w:sz w:val="20"/>
          <w:szCs w:val="20"/>
        </w:rPr>
        <w:t>PLACEHOLDER</w:t>
      </w:r>
    </w:p>
    <w:p w14:paraId="44B255BA" w14:textId="77777777" w:rsidR="00880A16" w:rsidRDefault="00880A16" w:rsidP="00685C4C">
      <w:pPr>
        <w:spacing w:after="0" w:line="240" w:lineRule="auto"/>
        <w:ind w:firstLine="360"/>
        <w:jc w:val="both"/>
        <w:rPr>
          <w:rFonts w:ascii="Times New Roman" w:hAnsi="Times New Roman" w:cs="Times New Roman"/>
          <w:sz w:val="20"/>
          <w:szCs w:val="20"/>
        </w:rPr>
      </w:pPr>
    </w:p>
    <w:p w14:paraId="65F254BE" w14:textId="6CAD5E49" w:rsidR="002947E7" w:rsidRPr="00E37CB1" w:rsidRDefault="002947E7" w:rsidP="002947E7">
      <w:pPr>
        <w:spacing w:after="0" w:line="240" w:lineRule="auto"/>
        <w:ind w:firstLine="360"/>
        <w:jc w:val="both"/>
        <w:rPr>
          <w:rFonts w:ascii="Times New Roman" w:hAnsi="Times New Roman" w:cs="Times New Roman"/>
          <w:sz w:val="20"/>
          <w:szCs w:val="20"/>
        </w:rPr>
      </w:pPr>
    </w:p>
    <w:p w14:paraId="41EA40DC" w14:textId="55E8007F" w:rsidR="00E37CB1" w:rsidRPr="002A5C5F" w:rsidRDefault="00513B02" w:rsidP="00DC3952">
      <w:pPr>
        <w:spacing w:before="240" w:after="80" w:line="240" w:lineRule="auto"/>
        <w:jc w:val="center"/>
        <w:rPr>
          <w:rFonts w:ascii="Times New Roman" w:hAnsi="Times New Roman" w:cs="Times New Roman"/>
          <w:b/>
          <w:bCs/>
          <w:smallCaps/>
          <w:sz w:val="20"/>
          <w:szCs w:val="20"/>
        </w:rPr>
      </w:pPr>
      <w:r w:rsidRPr="002A5C5F">
        <w:rPr>
          <w:rFonts w:ascii="Times New Roman" w:hAnsi="Times New Roman" w:cs="Times New Roman"/>
          <w:b/>
          <w:bCs/>
          <w:smallCaps/>
          <w:sz w:val="20"/>
          <w:szCs w:val="20"/>
        </w:rPr>
        <w:t xml:space="preserve">V. </w:t>
      </w:r>
      <w:r w:rsidR="00F845F0">
        <w:rPr>
          <w:rFonts w:ascii="Times New Roman" w:hAnsi="Times New Roman" w:cs="Times New Roman"/>
          <w:b/>
          <w:bCs/>
          <w:smallCaps/>
          <w:sz w:val="20"/>
          <w:szCs w:val="20"/>
        </w:rPr>
        <w:t>Discussion</w:t>
      </w:r>
    </w:p>
    <w:p w14:paraId="4A77B98A" w14:textId="0702DAE1" w:rsidR="00F2600A" w:rsidRPr="002A5C5F" w:rsidRDefault="002947E7" w:rsidP="00F2600A">
      <w:pPr>
        <w:spacing w:before="240" w:after="80" w:line="240" w:lineRule="auto"/>
        <w:jc w:val="center"/>
        <w:rPr>
          <w:rFonts w:ascii="Times New Roman" w:hAnsi="Times New Roman" w:cs="Times New Roman"/>
          <w:smallCaps/>
          <w:sz w:val="20"/>
          <w:szCs w:val="20"/>
        </w:rPr>
      </w:pPr>
      <w:r>
        <w:rPr>
          <w:rFonts w:ascii="Times New Roman" w:hAnsi="Times New Roman" w:cs="Times New Roman"/>
          <w:b/>
          <w:bCs/>
          <w:smallCaps/>
          <w:sz w:val="20"/>
          <w:szCs w:val="20"/>
        </w:rPr>
        <w:t>VI</w:t>
      </w:r>
      <w:r w:rsidR="00F2600A" w:rsidRPr="002A5C5F">
        <w:rPr>
          <w:rFonts w:ascii="Times New Roman" w:hAnsi="Times New Roman" w:cs="Times New Roman"/>
          <w:b/>
          <w:bCs/>
          <w:smallCaps/>
          <w:sz w:val="20"/>
          <w:szCs w:val="20"/>
        </w:rPr>
        <w:t xml:space="preserve">. </w:t>
      </w:r>
      <w:r w:rsidR="00F2600A">
        <w:rPr>
          <w:rFonts w:ascii="Times New Roman" w:hAnsi="Times New Roman" w:cs="Times New Roman"/>
          <w:b/>
          <w:bCs/>
          <w:smallCaps/>
          <w:sz w:val="20"/>
          <w:szCs w:val="20"/>
        </w:rPr>
        <w:t>Conclusion</w:t>
      </w:r>
    </w:p>
    <w:p w14:paraId="7A3B40D9" w14:textId="6AB332FF" w:rsidR="00AD59FA" w:rsidRDefault="00AD59FA" w:rsidP="00AD59FA">
      <w:pPr>
        <w:spacing w:after="0" w:line="240" w:lineRule="auto"/>
        <w:ind w:firstLine="360"/>
        <w:jc w:val="both"/>
        <w:rPr>
          <w:rFonts w:ascii="Times New Roman" w:hAnsi="Times New Roman" w:cs="Times New Roman"/>
          <w:sz w:val="20"/>
          <w:szCs w:val="20"/>
        </w:rPr>
      </w:pPr>
    </w:p>
    <w:p w14:paraId="39C57CF1" w14:textId="05892ACA" w:rsidR="00FA41E1" w:rsidRDefault="00AD59FA" w:rsidP="00AD59FA">
      <w:pPr>
        <w:spacing w:after="0" w:line="240" w:lineRule="auto"/>
        <w:ind w:firstLine="360"/>
        <w:jc w:val="center"/>
        <w:rPr>
          <w:rFonts w:ascii="Times New Roman" w:hAnsi="Times New Roman" w:cs="Times New Roman"/>
          <w:b/>
          <w:bCs/>
          <w:smallCaps/>
          <w:sz w:val="20"/>
          <w:szCs w:val="20"/>
        </w:rPr>
      </w:pPr>
      <w:r>
        <w:rPr>
          <w:rFonts w:ascii="Times New Roman" w:hAnsi="Times New Roman" w:cs="Times New Roman"/>
          <w:sz w:val="20"/>
          <w:szCs w:val="20"/>
        </w:rPr>
        <w:br w:type="column"/>
      </w:r>
      <w:r w:rsidR="00FA41E1" w:rsidRPr="002A5C5F">
        <w:rPr>
          <w:rFonts w:ascii="Times New Roman" w:hAnsi="Times New Roman" w:cs="Times New Roman"/>
          <w:b/>
          <w:bCs/>
          <w:smallCaps/>
          <w:sz w:val="20"/>
          <w:szCs w:val="20"/>
        </w:rPr>
        <w:t>R</w:t>
      </w:r>
      <w:r w:rsidR="002A5C5F">
        <w:rPr>
          <w:rFonts w:ascii="Times New Roman" w:hAnsi="Times New Roman" w:cs="Times New Roman"/>
          <w:b/>
          <w:bCs/>
          <w:smallCaps/>
          <w:sz w:val="20"/>
          <w:szCs w:val="20"/>
        </w:rPr>
        <w:t>eferences</w:t>
      </w:r>
    </w:p>
    <w:p w14:paraId="368B4CC1" w14:textId="77777777" w:rsidR="00E829C1" w:rsidRPr="002A5C5F" w:rsidRDefault="00E829C1" w:rsidP="00AD59FA">
      <w:pPr>
        <w:spacing w:after="0" w:line="240" w:lineRule="auto"/>
        <w:ind w:firstLine="360"/>
        <w:jc w:val="center"/>
        <w:rPr>
          <w:rFonts w:ascii="Times New Roman" w:hAnsi="Times New Roman" w:cs="Times New Roman"/>
          <w:b/>
          <w:bCs/>
          <w:smallCaps/>
          <w:sz w:val="20"/>
          <w:szCs w:val="20"/>
        </w:rPr>
      </w:pPr>
    </w:p>
    <w:p w14:paraId="77A8B1D9" w14:textId="4C51D3F6" w:rsidR="00FA41E1" w:rsidRDefault="00FA41E1" w:rsidP="002947E7">
      <w:pPr>
        <w:spacing w:after="0" w:line="240" w:lineRule="auto"/>
        <w:ind w:left="360" w:hanging="360"/>
        <w:jc w:val="both"/>
        <w:rPr>
          <w:rFonts w:ascii="Times New Roman" w:hAnsi="Times New Roman" w:cs="Times New Roman"/>
          <w:sz w:val="20"/>
          <w:szCs w:val="20"/>
        </w:rPr>
      </w:pPr>
      <w:r w:rsidRPr="00FA41E1">
        <w:rPr>
          <w:rFonts w:ascii="Times New Roman" w:hAnsi="Times New Roman" w:cs="Times New Roman"/>
          <w:sz w:val="20"/>
          <w:szCs w:val="20"/>
        </w:rPr>
        <w:t>[1]</w:t>
      </w:r>
      <w:r w:rsidR="002A5C5F">
        <w:rPr>
          <w:rFonts w:ascii="Times New Roman" w:hAnsi="Times New Roman" w:cs="Times New Roman"/>
          <w:sz w:val="20"/>
          <w:szCs w:val="20"/>
        </w:rPr>
        <w:tab/>
      </w:r>
      <w:r w:rsidR="00E607F8" w:rsidRPr="00E607F8">
        <w:rPr>
          <w:rFonts w:ascii="Times New Roman" w:hAnsi="Times New Roman" w:cs="Times New Roman"/>
          <w:sz w:val="20"/>
          <w:szCs w:val="20"/>
        </w:rPr>
        <w:t xml:space="preserve">[1] American Diabetes Association Professional Practice Committee, "2. Diagnosis and Classification of Diabetes: Standards of Care in Diabetes—2026," </w:t>
      </w:r>
      <w:r w:rsidR="00E607F8" w:rsidRPr="00E607F8">
        <w:rPr>
          <w:rFonts w:ascii="Times New Roman" w:hAnsi="Times New Roman" w:cs="Times New Roman"/>
          <w:i/>
          <w:iCs/>
          <w:sz w:val="20"/>
          <w:szCs w:val="20"/>
        </w:rPr>
        <w:t>Diabetes Care</w:t>
      </w:r>
      <w:r w:rsidR="00E607F8" w:rsidRPr="00E607F8">
        <w:rPr>
          <w:rFonts w:ascii="Times New Roman" w:hAnsi="Times New Roman" w:cs="Times New Roman"/>
          <w:sz w:val="20"/>
          <w:szCs w:val="20"/>
        </w:rPr>
        <w:t xml:space="preserve">, vol. 49, no. Suppl. 1, Jan. 2026, </w:t>
      </w:r>
      <w:r w:rsidR="00E607F8">
        <w:rPr>
          <w:rFonts w:ascii="Times New Roman" w:hAnsi="Times New Roman" w:cs="Times New Roman"/>
          <w:sz w:val="20"/>
          <w:szCs w:val="20"/>
        </w:rPr>
        <w:br/>
      </w:r>
      <w:proofErr w:type="spellStart"/>
      <w:r w:rsidR="00E607F8" w:rsidRPr="00E607F8">
        <w:rPr>
          <w:rFonts w:ascii="Times New Roman" w:hAnsi="Times New Roman" w:cs="Times New Roman"/>
          <w:sz w:val="20"/>
          <w:szCs w:val="20"/>
        </w:rPr>
        <w:t>doi</w:t>
      </w:r>
      <w:proofErr w:type="spellEnd"/>
      <w:r w:rsidR="00E607F8" w:rsidRPr="00E607F8">
        <w:rPr>
          <w:rFonts w:ascii="Times New Roman" w:hAnsi="Times New Roman" w:cs="Times New Roman"/>
          <w:sz w:val="20"/>
          <w:szCs w:val="20"/>
        </w:rPr>
        <w:t>: 10.2337/dc26-S002.</w:t>
      </w:r>
    </w:p>
    <w:p w14:paraId="41E2D3E7" w14:textId="564C01B9" w:rsidR="00FA41E1" w:rsidRDefault="00FA41E1" w:rsidP="002947E7">
      <w:pPr>
        <w:spacing w:after="0" w:line="240" w:lineRule="auto"/>
        <w:ind w:left="360" w:hanging="360"/>
        <w:jc w:val="both"/>
        <w:rPr>
          <w:rFonts w:ascii="Times New Roman" w:hAnsi="Times New Roman" w:cs="Times New Roman"/>
          <w:sz w:val="20"/>
          <w:szCs w:val="20"/>
        </w:rPr>
      </w:pPr>
      <w:r w:rsidRPr="00FA41E1">
        <w:rPr>
          <w:rFonts w:ascii="Times New Roman" w:hAnsi="Times New Roman" w:cs="Times New Roman"/>
          <w:sz w:val="20"/>
          <w:szCs w:val="20"/>
        </w:rPr>
        <w:t>[2]</w:t>
      </w:r>
      <w:r w:rsidR="002A5C5F">
        <w:rPr>
          <w:rFonts w:ascii="Times New Roman" w:hAnsi="Times New Roman" w:cs="Times New Roman"/>
          <w:sz w:val="20"/>
          <w:szCs w:val="20"/>
        </w:rPr>
        <w:tab/>
      </w:r>
      <w:r w:rsidR="001D3A35" w:rsidRPr="001D3A35">
        <w:rPr>
          <w:rFonts w:ascii="Times New Roman" w:hAnsi="Times New Roman" w:cs="Times New Roman"/>
          <w:sz w:val="20"/>
          <w:szCs w:val="20"/>
        </w:rPr>
        <w:t xml:space="preserve">Centers for Disease Control and Prevention, "National Diabetes Statistics Report," U.S. Department of Health and Human Services, Atlanta, GA, 2026. [Online]. </w:t>
      </w:r>
      <w:r w:rsidR="001D3A35">
        <w:rPr>
          <w:rFonts w:ascii="Times New Roman" w:hAnsi="Times New Roman" w:cs="Times New Roman"/>
          <w:sz w:val="20"/>
          <w:szCs w:val="20"/>
        </w:rPr>
        <w:br/>
      </w:r>
      <w:r w:rsidR="001D3A35" w:rsidRPr="001D3A35">
        <w:rPr>
          <w:rFonts w:ascii="Times New Roman" w:hAnsi="Times New Roman" w:cs="Times New Roman"/>
          <w:sz w:val="20"/>
          <w:szCs w:val="20"/>
        </w:rPr>
        <w:t>Available:</w:t>
      </w:r>
      <w:hyperlink r:id="rId6" w:tgtFrame="_blank" w:history="1">
        <w:r w:rsidR="001D3A35" w:rsidRPr="001D3A35">
          <w:rPr>
            <w:rStyle w:val="Hyperlink"/>
            <w:rFonts w:ascii="Times New Roman" w:hAnsi="Times New Roman" w:cs="Times New Roman"/>
            <w:sz w:val="20"/>
            <w:szCs w:val="20"/>
          </w:rPr>
          <w:t>https://www.cdc.gov/diabetes/php/data-research/index.html</w:t>
        </w:r>
      </w:hyperlink>
      <w:r w:rsidR="001D3A35" w:rsidRPr="001D3A35">
        <w:rPr>
          <w:rFonts w:ascii="Times New Roman" w:hAnsi="Times New Roman" w:cs="Times New Roman"/>
          <w:sz w:val="20"/>
          <w:szCs w:val="20"/>
        </w:rPr>
        <w:t>. Accessed: Mar. 16, 2026.</w:t>
      </w:r>
    </w:p>
    <w:p w14:paraId="251C56C5" w14:textId="364DF013" w:rsidR="00FA41E1" w:rsidRDefault="00FA41E1" w:rsidP="002947E7">
      <w:pPr>
        <w:spacing w:after="0" w:line="240" w:lineRule="auto"/>
        <w:ind w:left="360" w:hanging="360"/>
        <w:jc w:val="both"/>
        <w:rPr>
          <w:rFonts w:ascii="Times New Roman" w:hAnsi="Times New Roman" w:cs="Times New Roman"/>
          <w:sz w:val="20"/>
          <w:szCs w:val="20"/>
        </w:rPr>
      </w:pPr>
      <w:r w:rsidRPr="00FA41E1">
        <w:rPr>
          <w:rFonts w:ascii="Times New Roman" w:hAnsi="Times New Roman" w:cs="Times New Roman"/>
          <w:sz w:val="20"/>
          <w:szCs w:val="20"/>
        </w:rPr>
        <w:t>[3]</w:t>
      </w:r>
      <w:r w:rsidR="002A5C5F">
        <w:rPr>
          <w:rFonts w:ascii="Times New Roman" w:hAnsi="Times New Roman" w:cs="Times New Roman"/>
          <w:sz w:val="20"/>
          <w:szCs w:val="20"/>
        </w:rPr>
        <w:tab/>
      </w:r>
      <w:r w:rsidR="00D244B9" w:rsidRPr="00D244B9">
        <w:rPr>
          <w:rFonts w:ascii="Times New Roman" w:hAnsi="Times New Roman" w:cs="Times New Roman"/>
          <w:sz w:val="20"/>
          <w:szCs w:val="20"/>
        </w:rPr>
        <w:t xml:space="preserve">E. Ahlqvist </w:t>
      </w:r>
      <w:r w:rsidR="00D244B9" w:rsidRPr="00D244B9">
        <w:rPr>
          <w:rFonts w:ascii="Times New Roman" w:hAnsi="Times New Roman" w:cs="Times New Roman"/>
          <w:i/>
          <w:iCs/>
          <w:sz w:val="20"/>
          <w:szCs w:val="20"/>
        </w:rPr>
        <w:t>et al.</w:t>
      </w:r>
      <w:r w:rsidR="00D244B9" w:rsidRPr="00D244B9">
        <w:rPr>
          <w:rFonts w:ascii="Times New Roman" w:hAnsi="Times New Roman" w:cs="Times New Roman"/>
          <w:sz w:val="20"/>
          <w:szCs w:val="20"/>
        </w:rPr>
        <w:t xml:space="preserve">, "Novel subgroups of adult-onset diabetes and their association with outcomes: a data-driven cluster analysis of six variables," </w:t>
      </w:r>
      <w:r w:rsidR="00D244B9" w:rsidRPr="00D244B9">
        <w:rPr>
          <w:rFonts w:ascii="Times New Roman" w:hAnsi="Times New Roman" w:cs="Times New Roman"/>
          <w:i/>
          <w:iCs/>
          <w:sz w:val="20"/>
          <w:szCs w:val="20"/>
        </w:rPr>
        <w:t>The Lancet Diabetes &amp; Endocrinol.</w:t>
      </w:r>
      <w:r w:rsidR="00D244B9" w:rsidRPr="00D244B9">
        <w:rPr>
          <w:rFonts w:ascii="Times New Roman" w:hAnsi="Times New Roman" w:cs="Times New Roman"/>
          <w:sz w:val="20"/>
          <w:szCs w:val="20"/>
        </w:rPr>
        <w:t>, vol. 6, no. 5, pp. 361-369, May 2018.</w:t>
      </w:r>
    </w:p>
    <w:p w14:paraId="171BCF2F" w14:textId="0F92883D" w:rsidR="00FA41E1" w:rsidRDefault="00FA41E1" w:rsidP="002947E7">
      <w:pPr>
        <w:spacing w:after="0" w:line="240" w:lineRule="auto"/>
        <w:ind w:left="360" w:hanging="360"/>
        <w:jc w:val="both"/>
        <w:rPr>
          <w:rFonts w:ascii="Times New Roman" w:hAnsi="Times New Roman" w:cs="Times New Roman"/>
          <w:sz w:val="20"/>
          <w:szCs w:val="20"/>
        </w:rPr>
      </w:pPr>
      <w:r w:rsidRPr="00FA41E1">
        <w:rPr>
          <w:rFonts w:ascii="Times New Roman" w:hAnsi="Times New Roman" w:cs="Times New Roman"/>
          <w:sz w:val="20"/>
          <w:szCs w:val="20"/>
        </w:rPr>
        <w:t>[4]</w:t>
      </w:r>
      <w:r w:rsidR="002A5C5F">
        <w:rPr>
          <w:rFonts w:ascii="Times New Roman" w:hAnsi="Times New Roman" w:cs="Times New Roman"/>
          <w:sz w:val="20"/>
          <w:szCs w:val="20"/>
        </w:rPr>
        <w:tab/>
      </w:r>
      <w:r w:rsidR="00D244B9" w:rsidRPr="00D244B9">
        <w:rPr>
          <w:rFonts w:ascii="Times New Roman" w:hAnsi="Times New Roman" w:cs="Times New Roman"/>
          <w:sz w:val="20"/>
          <w:szCs w:val="20"/>
        </w:rPr>
        <w:t xml:space="preserve">W. K. Chung </w:t>
      </w:r>
      <w:r w:rsidR="00D244B9" w:rsidRPr="00D244B9">
        <w:rPr>
          <w:rFonts w:ascii="Times New Roman" w:hAnsi="Times New Roman" w:cs="Times New Roman"/>
          <w:i/>
          <w:iCs/>
          <w:sz w:val="20"/>
          <w:szCs w:val="20"/>
        </w:rPr>
        <w:t>et al.</w:t>
      </w:r>
      <w:r w:rsidR="00D244B9" w:rsidRPr="00D244B9">
        <w:rPr>
          <w:rFonts w:ascii="Times New Roman" w:hAnsi="Times New Roman" w:cs="Times New Roman"/>
          <w:sz w:val="20"/>
          <w:szCs w:val="20"/>
        </w:rPr>
        <w:t xml:space="preserve">, "Precision medicine in diabetes: A consensus report from the American Diabetes Association (ADA) and the European Association for the Study of Diabetes (EASD)," </w:t>
      </w:r>
      <w:r w:rsidR="00D244B9" w:rsidRPr="00D244B9">
        <w:rPr>
          <w:rFonts w:ascii="Times New Roman" w:hAnsi="Times New Roman" w:cs="Times New Roman"/>
          <w:i/>
          <w:iCs/>
          <w:sz w:val="20"/>
          <w:szCs w:val="20"/>
        </w:rPr>
        <w:t>Diabetes Care</w:t>
      </w:r>
      <w:r w:rsidR="00D244B9" w:rsidRPr="00D244B9">
        <w:rPr>
          <w:rFonts w:ascii="Times New Roman" w:hAnsi="Times New Roman" w:cs="Times New Roman"/>
          <w:sz w:val="20"/>
          <w:szCs w:val="20"/>
        </w:rPr>
        <w:t>, vol. 43, no. 7, pp. 1617-1635, Jul. 2020.</w:t>
      </w:r>
    </w:p>
    <w:p w14:paraId="30EECFE8" w14:textId="77777777" w:rsidR="00D244B9" w:rsidRDefault="00FA41E1" w:rsidP="00D244B9">
      <w:pPr>
        <w:spacing w:after="0" w:line="240" w:lineRule="auto"/>
        <w:ind w:left="360" w:hanging="360"/>
        <w:jc w:val="both"/>
        <w:rPr>
          <w:rFonts w:ascii="Times New Roman" w:hAnsi="Times New Roman" w:cs="Times New Roman"/>
          <w:sz w:val="20"/>
          <w:szCs w:val="20"/>
        </w:rPr>
      </w:pPr>
      <w:r w:rsidRPr="00FA41E1">
        <w:rPr>
          <w:rFonts w:ascii="Times New Roman" w:hAnsi="Times New Roman" w:cs="Times New Roman"/>
          <w:sz w:val="20"/>
          <w:szCs w:val="20"/>
        </w:rPr>
        <w:t>[5]</w:t>
      </w:r>
      <w:r w:rsidR="002A5C5F">
        <w:rPr>
          <w:rFonts w:ascii="Times New Roman" w:hAnsi="Times New Roman" w:cs="Times New Roman"/>
          <w:sz w:val="20"/>
          <w:szCs w:val="20"/>
        </w:rPr>
        <w:tab/>
      </w:r>
      <w:r w:rsidR="00D244B9" w:rsidRPr="00D244B9">
        <w:rPr>
          <w:rFonts w:ascii="Times New Roman" w:hAnsi="Times New Roman" w:cs="Times New Roman"/>
          <w:sz w:val="20"/>
          <w:szCs w:val="20"/>
        </w:rPr>
        <w:t xml:space="preserve">S. Misra </w:t>
      </w:r>
      <w:r w:rsidR="00D244B9" w:rsidRPr="00D244B9">
        <w:rPr>
          <w:rFonts w:ascii="Times New Roman" w:hAnsi="Times New Roman" w:cs="Times New Roman"/>
          <w:i/>
          <w:iCs/>
          <w:sz w:val="20"/>
          <w:szCs w:val="20"/>
        </w:rPr>
        <w:t>et al.</w:t>
      </w:r>
      <w:r w:rsidR="00D244B9" w:rsidRPr="00D244B9">
        <w:rPr>
          <w:rFonts w:ascii="Times New Roman" w:hAnsi="Times New Roman" w:cs="Times New Roman"/>
          <w:sz w:val="20"/>
          <w:szCs w:val="20"/>
        </w:rPr>
        <w:t xml:space="preserve">, "Precision subclassification of type 2 diabetes: a systematic review," </w:t>
      </w:r>
      <w:r w:rsidR="00D244B9" w:rsidRPr="00D244B9">
        <w:rPr>
          <w:rFonts w:ascii="Times New Roman" w:hAnsi="Times New Roman" w:cs="Times New Roman"/>
          <w:i/>
          <w:iCs/>
          <w:sz w:val="20"/>
          <w:szCs w:val="20"/>
        </w:rPr>
        <w:t>Commun. Med.</w:t>
      </w:r>
      <w:r w:rsidR="00D244B9" w:rsidRPr="00D244B9">
        <w:rPr>
          <w:rFonts w:ascii="Times New Roman" w:hAnsi="Times New Roman" w:cs="Times New Roman"/>
          <w:sz w:val="20"/>
          <w:szCs w:val="20"/>
        </w:rPr>
        <w:t>, vol. 3, no. 1, p. 139, Sep. 2023.</w:t>
      </w:r>
      <w:r w:rsidR="00D244B9" w:rsidRPr="00D244B9">
        <w:rPr>
          <w:rFonts w:ascii="Times New Roman" w:hAnsi="Times New Roman" w:cs="Times New Roman"/>
          <w:sz w:val="20"/>
          <w:szCs w:val="20"/>
        </w:rPr>
        <w:t xml:space="preserve"> </w:t>
      </w:r>
    </w:p>
    <w:p w14:paraId="60584907" w14:textId="5DB7A85C" w:rsidR="00F2600A" w:rsidRPr="002A5C5F" w:rsidRDefault="00F2600A" w:rsidP="00AD59FA">
      <w:pPr>
        <w:spacing w:after="0" w:line="240" w:lineRule="auto"/>
        <w:jc w:val="both"/>
        <w:rPr>
          <w:rFonts w:ascii="Times New Roman" w:hAnsi="Times New Roman" w:cs="Times New Roman"/>
          <w:sz w:val="20"/>
          <w:szCs w:val="20"/>
        </w:rPr>
        <w:sectPr w:rsidR="00F2600A" w:rsidRPr="002A5C5F" w:rsidSect="00F2600A">
          <w:type w:val="continuous"/>
          <w:pgSz w:w="12240" w:h="15840"/>
          <w:pgMar w:top="1080" w:right="907" w:bottom="1080" w:left="907" w:header="720" w:footer="720" w:gutter="0"/>
          <w:cols w:num="2" w:space="720"/>
          <w:docGrid w:linePitch="360"/>
        </w:sectPr>
      </w:pPr>
    </w:p>
    <w:p w14:paraId="606906F0" w14:textId="77777777" w:rsidR="000B5FC6" w:rsidRPr="00513B02" w:rsidRDefault="000B5FC6" w:rsidP="002A5C5F">
      <w:pPr>
        <w:spacing w:after="0" w:line="240" w:lineRule="auto"/>
        <w:jc w:val="both"/>
        <w:rPr>
          <w:rFonts w:ascii="Times New Roman" w:hAnsi="Times New Roman" w:cs="Times New Roman"/>
        </w:rPr>
      </w:pPr>
    </w:p>
    <w:sectPr w:rsidR="000B5FC6" w:rsidRPr="00513B02" w:rsidSect="00F2600A">
      <w:type w:val="continuous"/>
      <w:pgSz w:w="12240" w:h="15840"/>
      <w:pgMar w:top="1080" w:right="907" w:bottom="1080" w:left="907"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ECD76" w14:textId="77777777" w:rsidR="00DF5311" w:rsidRDefault="00DF5311" w:rsidP="00083CD3">
      <w:pPr>
        <w:spacing w:after="0" w:line="240" w:lineRule="auto"/>
      </w:pPr>
      <w:r>
        <w:separator/>
      </w:r>
    </w:p>
  </w:endnote>
  <w:endnote w:type="continuationSeparator" w:id="0">
    <w:p w14:paraId="420BE3C0" w14:textId="77777777" w:rsidR="00DF5311" w:rsidRDefault="00DF5311" w:rsidP="00083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E4E18" w14:textId="77777777" w:rsidR="00DF5311" w:rsidRDefault="00DF5311" w:rsidP="00083CD3">
      <w:pPr>
        <w:spacing w:after="0" w:line="240" w:lineRule="auto"/>
      </w:pPr>
      <w:r>
        <w:separator/>
      </w:r>
    </w:p>
  </w:footnote>
  <w:footnote w:type="continuationSeparator" w:id="0">
    <w:p w14:paraId="38D9CFE7" w14:textId="77777777" w:rsidR="00DF5311" w:rsidRDefault="00DF5311" w:rsidP="00083CD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36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CD3"/>
    <w:rsid w:val="00083CD3"/>
    <w:rsid w:val="000B5FC6"/>
    <w:rsid w:val="001D379E"/>
    <w:rsid w:val="001D3A35"/>
    <w:rsid w:val="00224648"/>
    <w:rsid w:val="00236109"/>
    <w:rsid w:val="00254606"/>
    <w:rsid w:val="002947E7"/>
    <w:rsid w:val="002A13A9"/>
    <w:rsid w:val="002A5C5F"/>
    <w:rsid w:val="002A68A6"/>
    <w:rsid w:val="00303C09"/>
    <w:rsid w:val="0036420F"/>
    <w:rsid w:val="00513B02"/>
    <w:rsid w:val="00523206"/>
    <w:rsid w:val="0052785A"/>
    <w:rsid w:val="00536EEB"/>
    <w:rsid w:val="005A0799"/>
    <w:rsid w:val="006706CA"/>
    <w:rsid w:val="00685C4C"/>
    <w:rsid w:val="006900F9"/>
    <w:rsid w:val="007C455D"/>
    <w:rsid w:val="007F60DE"/>
    <w:rsid w:val="00880A16"/>
    <w:rsid w:val="008E2073"/>
    <w:rsid w:val="00AD59FA"/>
    <w:rsid w:val="00B37F1C"/>
    <w:rsid w:val="00B92AB1"/>
    <w:rsid w:val="00C42A2B"/>
    <w:rsid w:val="00C50AB2"/>
    <w:rsid w:val="00C730AE"/>
    <w:rsid w:val="00C849AD"/>
    <w:rsid w:val="00D244B9"/>
    <w:rsid w:val="00D9233B"/>
    <w:rsid w:val="00DB7E3C"/>
    <w:rsid w:val="00DC3952"/>
    <w:rsid w:val="00DF5311"/>
    <w:rsid w:val="00E11AFB"/>
    <w:rsid w:val="00E256D3"/>
    <w:rsid w:val="00E37CB1"/>
    <w:rsid w:val="00E46BFC"/>
    <w:rsid w:val="00E607F8"/>
    <w:rsid w:val="00E829C1"/>
    <w:rsid w:val="00EB4A4E"/>
    <w:rsid w:val="00F2600A"/>
    <w:rsid w:val="00F26080"/>
    <w:rsid w:val="00F845F0"/>
    <w:rsid w:val="00F9758D"/>
    <w:rsid w:val="00FA4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4B4DB"/>
  <w15:chartTrackingRefBased/>
  <w15:docId w15:val="{717D605B-DAA2-4F2A-839C-55E5C03A7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A4E"/>
  </w:style>
  <w:style w:type="paragraph" w:styleId="Heading1">
    <w:name w:val="heading 1"/>
    <w:basedOn w:val="Normal"/>
    <w:next w:val="Normal"/>
    <w:link w:val="Heading1Char"/>
    <w:uiPriority w:val="9"/>
    <w:qFormat/>
    <w:rsid w:val="00083C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C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C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C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C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C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C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C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C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C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CD3"/>
    <w:rPr>
      <w:rFonts w:eastAsiaTheme="majorEastAsia" w:cstheme="majorBidi"/>
      <w:color w:val="272727" w:themeColor="text1" w:themeTint="D8"/>
    </w:rPr>
  </w:style>
  <w:style w:type="paragraph" w:styleId="Title">
    <w:name w:val="Title"/>
    <w:basedOn w:val="Normal"/>
    <w:next w:val="Normal"/>
    <w:link w:val="TitleChar"/>
    <w:uiPriority w:val="10"/>
    <w:qFormat/>
    <w:rsid w:val="00083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CD3"/>
    <w:pPr>
      <w:spacing w:before="160"/>
      <w:jc w:val="center"/>
    </w:pPr>
    <w:rPr>
      <w:i/>
      <w:iCs/>
      <w:color w:val="404040" w:themeColor="text1" w:themeTint="BF"/>
    </w:rPr>
  </w:style>
  <w:style w:type="character" w:customStyle="1" w:styleId="QuoteChar">
    <w:name w:val="Quote Char"/>
    <w:basedOn w:val="DefaultParagraphFont"/>
    <w:link w:val="Quote"/>
    <w:uiPriority w:val="29"/>
    <w:rsid w:val="00083CD3"/>
    <w:rPr>
      <w:i/>
      <w:iCs/>
      <w:color w:val="404040" w:themeColor="text1" w:themeTint="BF"/>
    </w:rPr>
  </w:style>
  <w:style w:type="paragraph" w:styleId="ListParagraph">
    <w:name w:val="List Paragraph"/>
    <w:basedOn w:val="Normal"/>
    <w:uiPriority w:val="34"/>
    <w:qFormat/>
    <w:rsid w:val="00083CD3"/>
    <w:pPr>
      <w:ind w:left="720"/>
      <w:contextualSpacing/>
    </w:pPr>
  </w:style>
  <w:style w:type="character" w:styleId="IntenseEmphasis">
    <w:name w:val="Intense Emphasis"/>
    <w:basedOn w:val="DefaultParagraphFont"/>
    <w:uiPriority w:val="21"/>
    <w:qFormat/>
    <w:rsid w:val="00083CD3"/>
    <w:rPr>
      <w:i/>
      <w:iCs/>
      <w:color w:val="0F4761" w:themeColor="accent1" w:themeShade="BF"/>
    </w:rPr>
  </w:style>
  <w:style w:type="paragraph" w:styleId="IntenseQuote">
    <w:name w:val="Intense Quote"/>
    <w:basedOn w:val="Normal"/>
    <w:next w:val="Normal"/>
    <w:link w:val="IntenseQuoteChar"/>
    <w:uiPriority w:val="30"/>
    <w:qFormat/>
    <w:rsid w:val="00083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CD3"/>
    <w:rPr>
      <w:i/>
      <w:iCs/>
      <w:color w:val="0F4761" w:themeColor="accent1" w:themeShade="BF"/>
    </w:rPr>
  </w:style>
  <w:style w:type="character" w:styleId="IntenseReference">
    <w:name w:val="Intense Reference"/>
    <w:basedOn w:val="DefaultParagraphFont"/>
    <w:uiPriority w:val="32"/>
    <w:qFormat/>
    <w:rsid w:val="00083CD3"/>
    <w:rPr>
      <w:b/>
      <w:bCs/>
      <w:smallCaps/>
      <w:color w:val="0F4761" w:themeColor="accent1" w:themeShade="BF"/>
      <w:spacing w:val="5"/>
    </w:rPr>
  </w:style>
  <w:style w:type="paragraph" w:styleId="Header">
    <w:name w:val="header"/>
    <w:basedOn w:val="Normal"/>
    <w:link w:val="HeaderChar"/>
    <w:uiPriority w:val="99"/>
    <w:unhideWhenUsed/>
    <w:rsid w:val="00083C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3CD3"/>
  </w:style>
  <w:style w:type="paragraph" w:styleId="Footer">
    <w:name w:val="footer"/>
    <w:basedOn w:val="Normal"/>
    <w:link w:val="FooterChar"/>
    <w:uiPriority w:val="99"/>
    <w:unhideWhenUsed/>
    <w:rsid w:val="00083C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3CD3"/>
  </w:style>
  <w:style w:type="character" w:styleId="Hyperlink">
    <w:name w:val="Hyperlink"/>
    <w:basedOn w:val="DefaultParagraphFont"/>
    <w:uiPriority w:val="99"/>
    <w:unhideWhenUsed/>
    <w:rsid w:val="00F2600A"/>
    <w:rPr>
      <w:color w:val="467886" w:themeColor="hyperlink"/>
      <w:u w:val="single"/>
    </w:rPr>
  </w:style>
  <w:style w:type="character" w:styleId="UnresolvedMention">
    <w:name w:val="Unresolved Mention"/>
    <w:basedOn w:val="DefaultParagraphFont"/>
    <w:uiPriority w:val="99"/>
    <w:semiHidden/>
    <w:unhideWhenUsed/>
    <w:rsid w:val="00F260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dc.gov/diabetes/php/data-research/index.html"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420</TotalTime>
  <Pages>2</Pages>
  <Words>1078</Words>
  <Characters>6959</Characters>
  <Application>Microsoft Office Word</Application>
  <DocSecurity>0</DocSecurity>
  <Lines>154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Anderson</dc:creator>
  <cp:keywords/>
  <dc:description/>
  <cp:lastModifiedBy>Mike Anderson</cp:lastModifiedBy>
  <cp:revision>4</cp:revision>
  <cp:lastPrinted>2026-02-10T01:42:00Z</cp:lastPrinted>
  <dcterms:created xsi:type="dcterms:W3CDTF">2026-03-16T19:34:00Z</dcterms:created>
  <dcterms:modified xsi:type="dcterms:W3CDTF">2026-03-17T02:34:00Z</dcterms:modified>
</cp:coreProperties>
</file>