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480" w:lineRule="auto"/>
        <w:jc w:val="lef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The Comparison of the Effectiveness of Regulatory Authority </w:t>
      </w:r>
    </w:p>
    <w:p w:rsidR="00000000" w:rsidDel="00000000" w:rsidP="00000000" w:rsidRDefault="00000000" w:rsidRPr="00000000" w14:paraId="00000002">
      <w:pPr>
        <w:spacing w:line="48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between FDA and USDA</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Agency: Georgetown University, McCourt School of Public Policy</w:t>
      </w:r>
    </w:p>
    <w:p w:rsidR="00000000" w:rsidDel="00000000" w:rsidP="00000000" w:rsidRDefault="00000000" w:rsidRPr="00000000" w14:paraId="00000004">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Funded By: National Fisheries Institute</w:t>
      </w:r>
      <w:r w:rsidDel="00000000" w:rsidR="00000000" w:rsidRPr="00000000">
        <w:rPr>
          <w:rtl w:val="0"/>
        </w:rPr>
      </w:r>
    </w:p>
    <w:p w:rsidR="00000000" w:rsidDel="00000000" w:rsidP="00000000" w:rsidRDefault="00000000" w:rsidRPr="00000000" w14:paraId="00000005">
      <w:pPr>
        <w:spacing w:line="480" w:lineRule="auto"/>
        <w:jc w:val="left"/>
        <w:rPr>
          <w:rFonts w:ascii="Times New Roman" w:cs="Times New Roman" w:eastAsia="Times New Roman" w:hAnsi="Times New Roman"/>
          <w:b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spacing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Project Outline </w:t>
      </w:r>
    </w:p>
    <w:p w:rsidR="00000000" w:rsidDel="00000000" w:rsidP="00000000" w:rsidRDefault="00000000" w:rsidRPr="00000000" w14:paraId="00000007">
      <w:pPr>
        <w:spacing w:line="480" w:lineRule="auto"/>
        <w:rPr>
          <w:rFonts w:ascii="Times New Roman" w:cs="Times New Roman" w:eastAsia="Times New Roman" w:hAnsi="Times New Roman"/>
          <w:b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numPr>
          <w:ilvl w:val="0"/>
          <w:numId w:val="3"/>
        </w:numPr>
        <w:spacing w:line="480" w:lineRule="auto"/>
        <w:ind w:left="720" w:hanging="360"/>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Glossary</w:t>
      </w:r>
    </w:p>
    <w:p w:rsidR="00000000" w:rsidDel="00000000" w:rsidP="00000000" w:rsidRDefault="00000000" w:rsidRPr="00000000" w14:paraId="000000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BTA- Bilateral Trade Agreement</w:t>
      </w:r>
    </w:p>
    <w:p w:rsidR="00000000" w:rsidDel="00000000" w:rsidP="00000000" w:rsidRDefault="00000000" w:rsidRPr="00000000" w14:paraId="0000000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CBP-</w:t>
      </w:r>
      <w:hyperlink r:id="rId7">
        <w:r w:rsidDel="00000000" w:rsidR="00000000" w:rsidRPr="00000000">
          <w:rPr>
            <w:rFonts w:ascii="Times New Roman" w:cs="Times New Roman" w:eastAsia="Times New Roman" w:hAnsi="Times New Roman"/>
            <w:sz w:val="24"/>
            <w:szCs w:val="24"/>
            <w:rtl w:val="0"/>
          </w:rPr>
          <w:t xml:space="preserve">U.S. Customs and Border Protection</w:t>
        </w:r>
      </w:hyperlink>
      <w:r w:rsidDel="00000000" w:rsidR="00000000" w:rsidRPr="00000000">
        <w:rPr>
          <w:rtl w:val="0"/>
        </w:rPr>
      </w:r>
    </w:p>
    <w:p w:rsidR="00000000" w:rsidDel="00000000" w:rsidP="00000000" w:rsidRDefault="00000000" w:rsidRPr="00000000" w14:paraId="0000000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CFA- Catfish Farmers’ Association </w:t>
      </w:r>
    </w:p>
    <w:p w:rsidR="00000000" w:rsidDel="00000000" w:rsidP="00000000" w:rsidRDefault="00000000" w:rsidRPr="00000000" w14:paraId="0000000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 - Import Administration of Department of Commerce </w:t>
      </w:r>
    </w:p>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color w:val="222222"/>
          <w:sz w:val="18"/>
          <w:szCs w:val="18"/>
          <w:highlight w:val="white"/>
        </w:rPr>
      </w:pPr>
      <w:r w:rsidDel="00000000" w:rsidR="00000000" w:rsidRPr="00000000">
        <w:rPr>
          <w:rFonts w:ascii="Times New Roman" w:cs="Times New Roman" w:eastAsia="Times New Roman" w:hAnsi="Times New Roman"/>
          <w:sz w:val="24"/>
          <w:szCs w:val="24"/>
          <w:rtl w:val="0"/>
        </w:rPr>
        <w:t xml:space="preserve">FDA-</w:t>
      </w:r>
      <w:hyperlink r:id="rId8">
        <w:r w:rsidDel="00000000" w:rsidR="00000000" w:rsidRPr="00000000">
          <w:rPr>
            <w:rFonts w:ascii="Times New Roman" w:cs="Times New Roman" w:eastAsia="Times New Roman" w:hAnsi="Times New Roman"/>
            <w:sz w:val="24"/>
            <w:szCs w:val="24"/>
            <w:rtl w:val="0"/>
          </w:rPr>
          <w:t xml:space="preserve">U.S. Food and Drug Administration</w:t>
        </w:r>
      </w:hyperlink>
      <w:r w:rsidDel="00000000" w:rsidR="00000000" w:rsidRPr="00000000">
        <w:rPr>
          <w:rtl w:val="0"/>
        </w:rPr>
      </w:r>
    </w:p>
    <w:p w:rsidR="00000000" w:rsidDel="00000000" w:rsidP="00000000" w:rsidRDefault="00000000" w:rsidRPr="00000000" w14:paraId="0000000E">
      <w:pPr>
        <w:spacing w:line="480" w:lineRule="auto"/>
        <w:rPr>
          <w:rFonts w:ascii="Georgia" w:cs="Georgia" w:eastAsia="Georgia" w:hAnsi="Georgia"/>
          <w:color w:val="333333"/>
          <w:sz w:val="24"/>
          <w:szCs w:val="24"/>
          <w:shd w:fill="f1f1f1" w:val="clear"/>
        </w:rPr>
      </w:pPr>
      <w:r w:rsidDel="00000000" w:rsidR="00000000" w:rsidRPr="00000000">
        <w:rPr>
          <w:rFonts w:ascii="Times New Roman" w:cs="Times New Roman" w:eastAsia="Times New Roman" w:hAnsi="Times New Roman"/>
          <w:sz w:val="24"/>
          <w:szCs w:val="24"/>
          <w:rtl w:val="0"/>
        </w:rPr>
        <w:t xml:space="preserve">FMIA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Federal Meat Inspection Act</w:t>
      </w:r>
      <w:r w:rsidDel="00000000" w:rsidR="00000000" w:rsidRPr="00000000">
        <w:rPr>
          <w:rtl w:val="0"/>
        </w:rPr>
      </w:r>
    </w:p>
    <w:p w:rsidR="00000000" w:rsidDel="00000000" w:rsidP="00000000" w:rsidRDefault="00000000" w:rsidRPr="00000000" w14:paraId="0000000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FSIS- U.S. Department of Agriculture’s Food Safety and Inspection Service (FSIS) </w:t>
      </w:r>
    </w:p>
    <w:p w:rsidR="00000000" w:rsidDel="00000000" w:rsidP="00000000" w:rsidRDefault="00000000" w:rsidRPr="00000000" w14:paraId="0000001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FSMA- </w:t>
      </w:r>
      <w:hyperlink r:id="rId9">
        <w:r w:rsidDel="00000000" w:rsidR="00000000" w:rsidRPr="00000000">
          <w:rPr>
            <w:rFonts w:ascii="Times New Roman" w:cs="Times New Roman" w:eastAsia="Times New Roman" w:hAnsi="Times New Roman"/>
            <w:sz w:val="24"/>
            <w:szCs w:val="24"/>
            <w:rtl w:val="0"/>
          </w:rPr>
          <w:t xml:space="preserve">Food Safety Modernization Act</w:t>
        </w:r>
      </w:hyperlink>
      <w:r w:rsidDel="00000000" w:rsidR="00000000" w:rsidRPr="00000000">
        <w:rPr>
          <w:rtl w:val="0"/>
        </w:rPr>
      </w:r>
    </w:p>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HACCP- </w:t>
      </w:r>
      <w:hyperlink r:id="rId10">
        <w:r w:rsidDel="00000000" w:rsidR="00000000" w:rsidRPr="00000000">
          <w:rPr>
            <w:rFonts w:ascii="Times New Roman" w:cs="Times New Roman" w:eastAsia="Times New Roman" w:hAnsi="Times New Roman"/>
            <w:sz w:val="24"/>
            <w:szCs w:val="24"/>
            <w:rtl w:val="0"/>
          </w:rPr>
          <w:t xml:space="preserve">Hazard Analysis Critical Control Point</w:t>
        </w:r>
      </w:hyperlink>
      <w:r w:rsidDel="00000000" w:rsidR="00000000" w:rsidRPr="00000000">
        <w:rPr>
          <w:rtl w:val="0"/>
        </w:rPr>
      </w:r>
    </w:p>
    <w:p w:rsidR="00000000" w:rsidDel="00000000" w:rsidP="00000000" w:rsidRDefault="00000000" w:rsidRPr="00000000" w14:paraId="0000001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ITC-International Trade Commission </w:t>
      </w:r>
    </w:p>
    <w:p w:rsidR="00000000" w:rsidDel="00000000" w:rsidP="00000000" w:rsidRDefault="00000000" w:rsidRPr="00000000" w14:paraId="0000001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MD - Mekong Delta </w:t>
      </w:r>
      <w:r w:rsidDel="00000000" w:rsidR="00000000" w:rsidRPr="00000000">
        <w:rPr>
          <w:rtl w:val="0"/>
        </w:rPr>
      </w:r>
    </w:p>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NFI-</w:t>
      </w:r>
      <w:r w:rsidDel="00000000" w:rsidR="00000000" w:rsidRPr="00000000">
        <w:rPr>
          <w:rFonts w:ascii="Times New Roman" w:cs="Times New Roman" w:eastAsia="Times New Roman" w:hAnsi="Times New Roman"/>
          <w:sz w:val="24"/>
          <w:szCs w:val="24"/>
          <w:rtl w:val="0"/>
        </w:rPr>
        <w:t xml:space="preserve">National Fisheries Institute</w:t>
      </w:r>
      <w:r w:rsidDel="00000000" w:rsidR="00000000" w:rsidRPr="00000000">
        <w:rPr>
          <w:rtl w:val="0"/>
        </w:rPr>
      </w:r>
    </w:p>
    <w:p w:rsidR="00000000" w:rsidDel="00000000" w:rsidP="00000000" w:rsidRDefault="00000000" w:rsidRPr="00000000" w14:paraId="0000001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USDA-United States Department of Agriculture</w:t>
      </w:r>
    </w:p>
    <w:p w:rsidR="00000000" w:rsidDel="00000000" w:rsidP="00000000" w:rsidRDefault="00000000" w:rsidRPr="00000000" w14:paraId="0000001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VASEP-Vietnamese Association of Seafood Exporter and Processors </w:t>
      </w:r>
    </w:p>
    <w:p w:rsidR="00000000" w:rsidDel="00000000" w:rsidP="00000000" w:rsidRDefault="00000000" w:rsidRPr="00000000" w14:paraId="0000001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II.     Background</w:t>
      </w:r>
    </w:p>
    <w:p w:rsidR="00000000" w:rsidDel="00000000" w:rsidP="00000000" w:rsidRDefault="00000000" w:rsidRPr="00000000" w14:paraId="0000001A">
      <w:pPr>
        <w:spacing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Pangasius Versus Catfish</w:t>
      </w:r>
    </w:p>
    <w:p w:rsidR="00000000" w:rsidDel="00000000" w:rsidP="00000000" w:rsidRDefault="00000000" w:rsidRPr="00000000" w14:paraId="0000001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ff0000"/>
          <w:sz w:val="24"/>
          <w:szCs w:val="24"/>
          <w:rtl w:val="0"/>
        </w:rPr>
        <w:t xml:space="preserve">(2006, p9, Tu Van Binh)</w:t>
      </w:r>
      <w:r w:rsidDel="00000000" w:rsidR="00000000" w:rsidRPr="00000000">
        <w:rPr>
          <w:rFonts w:ascii="Times New Roman" w:cs="Times New Roman" w:eastAsia="Times New Roman" w:hAnsi="Times New Roman"/>
          <w:sz w:val="24"/>
          <w:szCs w:val="24"/>
          <w:rtl w:val="0"/>
        </w:rPr>
        <w:t xml:space="preserve">Tra and basa fish, also known as pangasius, is a genus of catfish. They have been traditionally bred by fish farmers in the Mekong Delta of Vietnam. After Vietnam began exporting pangasius in the mid-1980s, in response to increasing international market demand, the suppliers and farmers advanced their hatching, fingerling, and cage farming technologies. These developments led to a steep increase in the production of pangasius in the Mekong Delta area. </w:t>
      </w:r>
    </w:p>
    <w:p w:rsidR="00000000" w:rsidDel="00000000" w:rsidP="00000000" w:rsidRDefault="00000000" w:rsidRPr="00000000" w14:paraId="0000001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Barriers to Entry</w:t>
      </w:r>
      <w:r w:rsidDel="00000000" w:rsidR="00000000" w:rsidRPr="00000000">
        <w:rPr>
          <w:rtl w:val="0"/>
        </w:rPr>
      </w:r>
    </w:p>
    <w:p w:rsidR="00000000" w:rsidDel="00000000" w:rsidP="00000000" w:rsidRDefault="00000000" w:rsidRPr="00000000" w14:paraId="0000001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Competition: </w:t>
      </w:r>
      <w:r w:rsidDel="00000000" w:rsidR="00000000" w:rsidRPr="00000000">
        <w:rPr>
          <w:rFonts w:ascii="Times New Roman" w:cs="Times New Roman" w:eastAsia="Times New Roman" w:hAnsi="Times New Roman"/>
          <w:sz w:val="24"/>
          <w:szCs w:val="24"/>
          <w:rtl w:val="0"/>
        </w:rPr>
        <w:t xml:space="preserve">Pangasius is one of the top 10 most consumed seafood in the United States in 2017(Sites, NFI, 2017). Pangasius entered the U.S. market around 1995 and quickly snatched a huge market share of the catfish market, and consequently lowered the domestic catfish market price by 66% percent from 1997 to 2002. (Source: Monthly catfish producing report, National Agricultural Statistics Service, USDA.)</w:t>
      </w:r>
    </w:p>
    <w:p w:rsidR="00000000" w:rsidDel="00000000" w:rsidP="00000000" w:rsidRDefault="00000000" w:rsidRPr="00000000" w14:paraId="0000001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480" w:lineRule="auto"/>
        <w:rPr>
          <w:rFonts w:ascii="Georgia" w:cs="Georgia" w:eastAsia="Georgia" w:hAnsi="Georgia"/>
          <w:color w:val="333333"/>
          <w:sz w:val="18"/>
          <w:szCs w:val="18"/>
        </w:rPr>
      </w:pPr>
      <w:r w:rsidDel="00000000" w:rsidR="00000000" w:rsidRPr="00000000">
        <w:rPr>
          <w:rFonts w:ascii="Times New Roman" w:cs="Times New Roman" w:eastAsia="Times New Roman" w:hAnsi="Times New Roman"/>
          <w:b w:val="1"/>
          <w:sz w:val="24"/>
          <w:szCs w:val="24"/>
          <w:rtl w:val="0"/>
        </w:rPr>
        <w:t xml:space="preserve">Anti-dumping: </w:t>
      </w:r>
      <w:r w:rsidDel="00000000" w:rsidR="00000000" w:rsidRPr="00000000">
        <w:rPr>
          <w:rFonts w:ascii="Times New Roman" w:cs="Times New Roman" w:eastAsia="Times New Roman" w:hAnsi="Times New Roman"/>
          <w:sz w:val="24"/>
          <w:szCs w:val="24"/>
          <w:rtl w:val="0"/>
        </w:rPr>
        <w:t xml:space="preserve">Even though a BTA(Bilateral Trade Agreement) was signed between the U.S. and Vietnam in 2000, an anti-dumping tax was imposed on the Vietnam catfish industry by the U.S. domestic market. In 2002, the U.S. Catfish Farmers’ Association (CFA) and eight seafood production companies lodged an application with the US International Trade Commission(ITC) to sue the Vietnamese Association of Seafood Exporter and Processors (VASEP) for dumping catfish products in the USA. </w:t>
      </w:r>
      <w:r w:rsidDel="00000000" w:rsidR="00000000" w:rsidRPr="00000000">
        <w:rPr>
          <w:rtl w:val="0"/>
        </w:rPr>
      </w:r>
    </w:p>
    <w:p w:rsidR="00000000" w:rsidDel="00000000" w:rsidP="00000000" w:rsidRDefault="00000000" w:rsidRPr="00000000" w14:paraId="00000021">
      <w:pPr>
        <w:spacing w:line="240" w:lineRule="auto"/>
        <w:ind w:left="-1980" w:hanging="260"/>
        <w:rPr>
          <w:rFonts w:ascii="Georgia" w:cs="Georgia" w:eastAsia="Georgia" w:hAnsi="Georgia"/>
          <w:color w:val="333333"/>
          <w:sz w:val="24"/>
          <w:szCs w:val="24"/>
        </w:rPr>
      </w:pPr>
      <w:r w:rsidDel="00000000" w:rsidR="00000000" w:rsidRPr="00000000">
        <w:rPr>
          <w:color w:val="7f7f7f"/>
          <w:sz w:val="21"/>
          <w:szCs w:val="21"/>
          <w:shd w:fill="f1f1f1" w:val="clear"/>
          <w:rtl w:val="0"/>
        </w:rPr>
        <w:t xml:space="preserve">Start Pri</w:t>
      </w:r>
      <w:r w:rsidDel="00000000" w:rsidR="00000000" w:rsidRPr="00000000">
        <w:rPr>
          <w:rtl w:val="0"/>
        </w:rPr>
      </w:r>
    </w:p>
    <w:p w:rsidR="00000000" w:rsidDel="00000000" w:rsidP="00000000" w:rsidRDefault="00000000" w:rsidRPr="00000000" w14:paraId="0000002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222222"/>
          <w:sz w:val="24"/>
          <w:szCs w:val="24"/>
          <w:rtl w:val="0"/>
        </w:rPr>
        <w:t xml:space="preserve">Naming: </w:t>
      </w:r>
      <w:r w:rsidDel="00000000" w:rsidR="00000000" w:rsidRPr="00000000">
        <w:rPr>
          <w:rFonts w:ascii="Times New Roman" w:cs="Times New Roman" w:eastAsia="Times New Roman" w:hAnsi="Times New Roman"/>
          <w:color w:val="222222"/>
          <w:sz w:val="24"/>
          <w:szCs w:val="24"/>
          <w:rtl w:val="0"/>
        </w:rPr>
        <w:t xml:space="preserve">The domestic catfish industry is centered in Alabama and Mississippi(</w:t>
      </w:r>
      <w:r w:rsidDel="00000000" w:rsidR="00000000" w:rsidRPr="00000000">
        <w:rPr>
          <w:rFonts w:ascii="Times New Roman" w:cs="Times New Roman" w:eastAsia="Times New Roman" w:hAnsi="Times New Roman"/>
          <w:color w:val="ff0000"/>
          <w:sz w:val="24"/>
          <w:szCs w:val="24"/>
          <w:rtl w:val="0"/>
        </w:rPr>
        <w:t xml:space="preserve">needs data to back up</w:t>
      </w:r>
      <w:r w:rsidDel="00000000" w:rsidR="00000000" w:rsidRPr="00000000">
        <w:rPr>
          <w:rFonts w:ascii="Times New Roman" w:cs="Times New Roman" w:eastAsia="Times New Roman" w:hAnsi="Times New Roman"/>
          <w:color w:val="222222"/>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In 2003, the senators of interests </w:t>
      </w:r>
      <w:r w:rsidDel="00000000" w:rsidR="00000000" w:rsidRPr="00000000">
        <w:rPr>
          <w:rFonts w:ascii="Times New Roman" w:cs="Times New Roman" w:eastAsia="Times New Roman" w:hAnsi="Times New Roman"/>
          <w:b w:val="1"/>
          <w:color w:val="222222"/>
          <w:sz w:val="24"/>
          <w:szCs w:val="24"/>
          <w:rtl w:val="0"/>
        </w:rPr>
        <w:t xml:space="preserve">had begun to mandate, adopt, or push for a number of legislative, regulatory, and other government measures to block the import of pangasius from Vietnam. </w:t>
      </w:r>
      <w:r w:rsidDel="00000000" w:rsidR="00000000" w:rsidRPr="00000000">
        <w:rPr>
          <w:rFonts w:ascii="Times New Roman" w:cs="Times New Roman" w:eastAsia="Times New Roman" w:hAnsi="Times New Roman"/>
          <w:sz w:val="24"/>
          <w:szCs w:val="24"/>
          <w:rtl w:val="0"/>
        </w:rPr>
        <w:t xml:space="preserve">One of the efforts to protect their market niche is to distinguish local fish from imported fish.</w:t>
      </w:r>
      <w:r w:rsidDel="00000000" w:rsidR="00000000" w:rsidRPr="00000000">
        <w:rPr>
          <w:rFonts w:ascii="Times New Roman" w:cs="Times New Roman" w:eastAsia="Times New Roman" w:hAnsi="Times New Roman"/>
          <w:b w:val="1"/>
          <w:color w:val="222222"/>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Congress has passed a number of bills in favor of the local catfish industry in terms of naming, and here are a few examples:</w:t>
      </w:r>
    </w:p>
    <w:p w:rsidR="00000000" w:rsidDel="00000000" w:rsidP="00000000" w:rsidRDefault="00000000" w:rsidRPr="00000000" w14:paraId="00000024">
      <w:pPr>
        <w:numPr>
          <w:ilvl w:val="0"/>
          <w:numId w:val="5"/>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The 2002 Farm Bill</w:t>
      </w:r>
      <w:r w:rsidDel="00000000" w:rsidR="00000000" w:rsidRPr="00000000">
        <w:rPr>
          <w:rFonts w:ascii="Times New Roman" w:cs="Times New Roman" w:eastAsia="Times New Roman" w:hAnsi="Times New Roman"/>
          <w:b w:val="1"/>
          <w:sz w:val="24"/>
          <w:szCs w:val="24"/>
          <w:vertAlign w:val="superscript"/>
        </w:rPr>
        <w:footnoteReference w:customMarkFollows="0" w:id="0"/>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determined that </w:t>
      </w:r>
      <w:r w:rsidDel="00000000" w:rsidR="00000000" w:rsidRPr="00000000">
        <w:rPr>
          <w:rFonts w:ascii="Times New Roman" w:cs="Times New Roman" w:eastAsia="Times New Roman" w:hAnsi="Times New Roman"/>
          <w:sz w:val="24"/>
          <w:szCs w:val="24"/>
          <w:rtl w:val="0"/>
        </w:rPr>
        <w:t xml:space="preserve">non-Ictaluridae Siluriformes, such as fish belonging to the family of Pangasiidae that are produced in Asia (</w:t>
      </w:r>
      <w:r w:rsidDel="00000000" w:rsidR="00000000" w:rsidRPr="00000000">
        <w:rPr>
          <w:rFonts w:ascii="Times New Roman" w:cs="Times New Roman" w:eastAsia="Times New Roman" w:hAnsi="Times New Roman"/>
          <w:sz w:val="24"/>
          <w:szCs w:val="24"/>
          <w:rtl w:val="0"/>
        </w:rPr>
        <w:t xml:space="preserve">e.g.,</w:t>
      </w:r>
      <w:r w:rsidDel="00000000" w:rsidR="00000000" w:rsidRPr="00000000">
        <w:rPr>
          <w:rFonts w:ascii="Times New Roman" w:cs="Times New Roman" w:eastAsia="Times New Roman" w:hAnsi="Times New Roman"/>
          <w:sz w:val="24"/>
          <w:szCs w:val="24"/>
          <w:rtl w:val="0"/>
        </w:rPr>
        <w:t xml:space="preserve"> basa, tra, and swai), could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i w:val="1"/>
          <w:sz w:val="24"/>
          <w:szCs w:val="24"/>
          <w:rtl w:val="0"/>
        </w:rPr>
        <w:t xml:space="preserve">no</w:t>
      </w:r>
      <w:r w:rsidDel="00000000" w:rsidR="00000000" w:rsidRPr="00000000">
        <w:rPr>
          <w:rFonts w:ascii="Georgia" w:cs="Georgia" w:eastAsia="Georgia" w:hAnsi="Georgia"/>
          <w:b w:val="1"/>
          <w:i w:val="1"/>
          <w:color w:val="333333"/>
          <w:sz w:val="24"/>
          <w:szCs w:val="24"/>
          <w:rtl w:val="0"/>
        </w:rPr>
        <w:t xml:space="preserve"> </w:t>
      </w:r>
      <w:r w:rsidDel="00000000" w:rsidR="00000000" w:rsidRPr="00000000">
        <w:rPr>
          <w:rFonts w:ascii="Times New Roman" w:cs="Times New Roman" w:eastAsia="Times New Roman" w:hAnsi="Times New Roman"/>
          <w:b w:val="1"/>
          <w:i w:val="1"/>
          <w:sz w:val="24"/>
          <w:szCs w:val="24"/>
          <w:rtl w:val="0"/>
        </w:rPr>
        <w:t xml:space="preserve">longer be marketed as “catfish” in the United States. </w:t>
      </w:r>
    </w:p>
    <w:p w:rsidR="00000000" w:rsidDel="00000000" w:rsidP="00000000" w:rsidRDefault="00000000" w:rsidRPr="00000000" w14:paraId="00000025">
      <w:pPr>
        <w:numPr>
          <w:ilvl w:val="0"/>
          <w:numId w:val="5"/>
        </w:numPr>
        <w:spacing w:line="480" w:lineRule="auto"/>
        <w:ind w:left="720" w:hanging="360"/>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sz w:val="24"/>
          <w:szCs w:val="24"/>
          <w:rtl w:val="0"/>
        </w:rPr>
        <w:t xml:space="preserve">In the 2008 Farm Bill, </w:t>
      </w:r>
      <w:r w:rsidDel="00000000" w:rsidR="00000000" w:rsidRPr="00000000">
        <w:rPr>
          <w:rFonts w:ascii="Times New Roman" w:cs="Times New Roman" w:eastAsia="Times New Roman" w:hAnsi="Times New Roman"/>
          <w:sz w:val="24"/>
          <w:szCs w:val="24"/>
          <w:rtl w:val="0"/>
        </w:rPr>
        <w:t xml:space="preserve">Congress gave the Secretary of Agriculture and, by delegation, </w:t>
      </w:r>
      <w:r w:rsidDel="00000000" w:rsidR="00000000" w:rsidRPr="00000000">
        <w:rPr>
          <w:rFonts w:ascii="Times New Roman" w:cs="Times New Roman" w:eastAsia="Times New Roman" w:hAnsi="Times New Roman"/>
          <w:b w:val="1"/>
          <w:i w:val="1"/>
          <w:sz w:val="24"/>
          <w:szCs w:val="24"/>
          <w:rtl w:val="0"/>
        </w:rPr>
        <w:t xml:space="preserve">FSIS, the authority to determine to which fish the term “catfish” would apply</w:t>
      </w:r>
      <w:r w:rsidDel="00000000" w:rsidR="00000000" w:rsidRPr="00000000">
        <w:rPr>
          <w:rFonts w:ascii="Times New Roman" w:cs="Times New Roman" w:eastAsia="Times New Roman" w:hAnsi="Times New Roman"/>
          <w:b w:val="1"/>
          <w:i w:val="1"/>
          <w:sz w:val="24"/>
          <w:szCs w:val="24"/>
          <w:vertAlign w:val="superscript"/>
        </w:rPr>
        <w:footnoteReference w:customMarkFollows="0" w:id="1"/>
      </w:r>
      <w:r w:rsidDel="00000000" w:rsidR="00000000" w:rsidRPr="00000000">
        <w:rPr>
          <w:rFonts w:ascii="Times New Roman" w:cs="Times New Roman" w:eastAsia="Times New Roman" w:hAnsi="Times New Roman"/>
          <w:b w:val="1"/>
          <w:i w:val="1"/>
          <w:sz w:val="24"/>
          <w:szCs w:val="24"/>
          <w:rtl w:val="0"/>
        </w:rPr>
        <w:t xml:space="preserve">.</w:t>
      </w:r>
      <w:r w:rsidDel="00000000" w:rsidR="00000000" w:rsidRPr="00000000">
        <w:rPr>
          <w:rtl w:val="0"/>
        </w:rPr>
      </w:r>
    </w:p>
    <w:p w:rsidR="00000000" w:rsidDel="00000000" w:rsidP="00000000" w:rsidRDefault="00000000" w:rsidRPr="00000000" w14:paraId="00000026">
      <w:pPr>
        <w:numPr>
          <w:ilvl w:val="0"/>
          <w:numId w:val="5"/>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color w:val="000000"/>
          <w:sz w:val="24"/>
          <w:szCs w:val="24"/>
          <w:rtl w:val="0"/>
        </w:rPr>
        <w:t xml:space="preserve">The Louisiana House Bill 439</w:t>
      </w:r>
      <w:r w:rsidDel="00000000" w:rsidR="00000000" w:rsidRPr="00000000">
        <w:rPr>
          <w:rFonts w:ascii="Times New Roman" w:cs="Times New Roman" w:eastAsia="Times New Roman" w:hAnsi="Times New Roman"/>
          <w:b w:val="1"/>
          <w:color w:val="000000"/>
          <w:sz w:val="24"/>
          <w:szCs w:val="24"/>
          <w:vertAlign w:val="superscript"/>
        </w:rPr>
        <w:footnoteReference w:customMarkFollows="0" w:id="2"/>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which was effective on Nov</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1st, 2009,  asked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all catfish related products to identify the </w:t>
      </w:r>
      <w:r w:rsidDel="00000000" w:rsidR="00000000" w:rsidRPr="00000000">
        <w:rPr>
          <w:rFonts w:ascii="Times New Roman" w:cs="Times New Roman" w:eastAsia="Times New Roman" w:hAnsi="Times New Roman"/>
          <w:b w:val="1"/>
          <w:i w:val="1"/>
          <w:color w:val="000000"/>
          <w:sz w:val="24"/>
          <w:szCs w:val="24"/>
          <w:rtl w:val="0"/>
        </w:rPr>
        <w:t xml:space="preserve">country of origin</w:t>
      </w:r>
      <w:r w:rsidDel="00000000" w:rsidR="00000000" w:rsidRPr="00000000">
        <w:rPr>
          <w:rFonts w:ascii="Times New Roman" w:cs="Times New Roman" w:eastAsia="Times New Roman" w:hAnsi="Times New Roman"/>
          <w:color w:val="000000"/>
          <w:sz w:val="24"/>
          <w:szCs w:val="24"/>
          <w:rtl w:val="0"/>
        </w:rPr>
        <w:t xml:space="preserve"> at the final point of sale.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7">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The Tennessee Senate House Bill 3136</w:t>
      </w:r>
      <w:r w:rsidDel="00000000" w:rsidR="00000000" w:rsidRPr="00000000">
        <w:rPr>
          <w:rFonts w:ascii="Times New Roman" w:cs="Times New Roman" w:eastAsia="Times New Roman" w:hAnsi="Times New Roman"/>
          <w:sz w:val="24"/>
          <w:szCs w:val="24"/>
          <w:vertAlign w:val="superscript"/>
        </w:rPr>
        <w:footnoteReference w:customMarkFollows="0" w:id="3"/>
      </w:r>
      <w:r w:rsidDel="00000000" w:rsidR="00000000" w:rsidRPr="00000000">
        <w:rPr>
          <w:rFonts w:ascii="Times New Roman" w:cs="Times New Roman" w:eastAsia="Times New Roman" w:hAnsi="Times New Roman"/>
          <w:sz w:val="24"/>
          <w:szCs w:val="24"/>
          <w:rtl w:val="0"/>
        </w:rPr>
        <w:t xml:space="preserve">, which was effective on July 1, 2010, required all imported </w:t>
      </w:r>
      <w:r w:rsidDel="00000000" w:rsidR="00000000" w:rsidRPr="00000000">
        <w:rPr>
          <w:rFonts w:ascii="Times New Roman" w:cs="Times New Roman" w:eastAsia="Times New Roman" w:hAnsi="Times New Roman"/>
          <w:sz w:val="24"/>
          <w:szCs w:val="24"/>
          <w:rtl w:val="0"/>
        </w:rPr>
        <w:t xml:space="preserve">catfish related products be labeled as  "</w:t>
      </w:r>
      <w:r w:rsidDel="00000000" w:rsidR="00000000" w:rsidRPr="00000000">
        <w:rPr>
          <w:rFonts w:ascii="Times New Roman" w:cs="Times New Roman" w:eastAsia="Times New Roman" w:hAnsi="Times New Roman"/>
          <w:b w:val="1"/>
          <w:i w:val="1"/>
          <w:sz w:val="24"/>
          <w:szCs w:val="24"/>
          <w:rtl w:val="0"/>
        </w:rPr>
        <w:t xml:space="preserve">imported</w:t>
      </w:r>
      <w:r w:rsidDel="00000000" w:rsidR="00000000" w:rsidRPr="00000000">
        <w:rPr>
          <w:rFonts w:ascii="Times New Roman" w:cs="Times New Roman" w:eastAsia="Times New Roman" w:hAnsi="Times New Roman"/>
          <w:sz w:val="24"/>
          <w:szCs w:val="24"/>
          <w:rtl w:val="0"/>
        </w:rPr>
        <w:t xml:space="preserve">" on their menus. </w:t>
      </w:r>
    </w:p>
    <w:p w:rsidR="00000000" w:rsidDel="00000000" w:rsidP="00000000" w:rsidRDefault="00000000" w:rsidRPr="00000000" w14:paraId="00000028">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The Mississippi House Bill 771</w:t>
      </w:r>
      <w:r w:rsidDel="00000000" w:rsidR="00000000" w:rsidRPr="00000000">
        <w:rPr>
          <w:rFonts w:ascii="Times New Roman" w:cs="Times New Roman" w:eastAsia="Times New Roman" w:hAnsi="Times New Roman"/>
          <w:b w:val="1"/>
          <w:color w:val="000000"/>
          <w:sz w:val="24"/>
          <w:szCs w:val="24"/>
          <w:vertAlign w:val="superscript"/>
        </w:rPr>
        <w:footnoteReference w:customMarkFollows="0" w:id="4"/>
      </w:r>
      <w:r w:rsidDel="00000000" w:rsidR="00000000" w:rsidRPr="00000000">
        <w:rPr>
          <w:rFonts w:ascii="Times New Roman" w:cs="Times New Roman" w:eastAsia="Times New Roman" w:hAnsi="Times New Roman"/>
          <w:color w:val="000000"/>
          <w:sz w:val="24"/>
          <w:szCs w:val="24"/>
          <w:rtl w:val="0"/>
        </w:rPr>
        <w:t xml:space="preserve"> enacted as Chapter Two of Catfish Marketing Law Labeling Regulations, which was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effective on July 1, 2013,</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i w:val="1"/>
          <w:color w:val="000000"/>
          <w:sz w:val="24"/>
          <w:szCs w:val="24"/>
          <w:rtl w:val="0"/>
        </w:rPr>
        <w:t xml:space="preserve">distinguished U.S. local catfish from pangasius,</w:t>
      </w:r>
      <w:r w:rsidDel="00000000" w:rsidR="00000000" w:rsidRPr="00000000">
        <w:rPr>
          <w:rFonts w:ascii="Times New Roman" w:cs="Times New Roman" w:eastAsia="Times New Roman" w:hAnsi="Times New Roman"/>
          <w:color w:val="000000"/>
          <w:sz w:val="24"/>
          <w:szCs w:val="24"/>
          <w:rtl w:val="0"/>
        </w:rPr>
        <w:t xml:space="preserve"> which was categorized as a fish that’s similar to catfish but not in the same family. This bill also required special </w:t>
      </w:r>
      <w:r w:rsidDel="00000000" w:rsidR="00000000" w:rsidRPr="00000000">
        <w:rPr>
          <w:rFonts w:ascii="Times New Roman" w:cs="Times New Roman" w:eastAsia="Times New Roman" w:hAnsi="Times New Roman"/>
          <w:sz w:val="24"/>
          <w:szCs w:val="24"/>
          <w:rtl w:val="0"/>
        </w:rPr>
        <w:t xml:space="preserve">labels on the menu for pangasius.</w:t>
      </w:r>
      <w:r w:rsidDel="00000000" w:rsidR="00000000" w:rsidRPr="00000000">
        <w:rPr>
          <w:rtl w:val="0"/>
        </w:rPr>
      </w:r>
    </w:p>
    <w:p w:rsidR="00000000" w:rsidDel="00000000" w:rsidP="00000000" w:rsidRDefault="00000000" w:rsidRPr="00000000" w14:paraId="00000029">
      <w:pPr>
        <w:spacing w:line="480" w:lineRule="auto"/>
        <w:rPr>
          <w:rFonts w:ascii="Times New Roman" w:cs="Times New Roman" w:eastAsia="Times New Roman" w:hAnsi="Times New Roman"/>
          <w:b w:val="1"/>
          <w:color w:val="ff0000"/>
          <w:sz w:val="24"/>
          <w:szCs w:val="24"/>
        </w:rPr>
      </w:pPr>
      <w:r w:rsidDel="00000000" w:rsidR="00000000" w:rsidRPr="00000000">
        <w:rPr>
          <w:rtl w:val="0"/>
        </w:rPr>
      </w:r>
    </w:p>
    <w:p w:rsidR="00000000" w:rsidDel="00000000" w:rsidP="00000000" w:rsidRDefault="00000000" w:rsidRPr="00000000" w14:paraId="0000002A">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In 2005, the U.S. imposed customs bonds and anti-dumping tariffs on Vietnamese tra and basa fish</w:t>
      </w:r>
      <w:r w:rsidDel="00000000" w:rsidR="00000000" w:rsidRPr="00000000">
        <w:rPr>
          <w:rFonts w:ascii="Times New Roman" w:cs="Times New Roman" w:eastAsia="Times New Roman" w:hAnsi="Times New Roman"/>
          <w:sz w:val="24"/>
          <w:szCs w:val="24"/>
          <w:vertAlign w:val="superscript"/>
        </w:rPr>
        <w:footnoteReference w:customMarkFollows="0" w:id="5"/>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Even facing barriers to entry, from 2005 to 2013, imported catfish-like fillet products have increased from 20% to 80% of the U.S. catfish market share</w:t>
      </w:r>
      <w:r w:rsidDel="00000000" w:rsidR="00000000" w:rsidRPr="00000000">
        <w:rPr>
          <w:rFonts w:ascii="Times New Roman" w:cs="Times New Roman" w:eastAsia="Times New Roman" w:hAnsi="Times New Roman"/>
          <w:sz w:val="24"/>
          <w:szCs w:val="24"/>
          <w:vertAlign w:val="superscript"/>
        </w:rPr>
        <w:footnoteReference w:customMarkFollows="0" w:id="6"/>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2B">
      <w:pPr>
        <w:spacing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C">
      <w:pPr>
        <w:shd w:fill="ffffff" w:val="clear"/>
        <w:spacing w:before="120" w:line="480" w:lineRule="auto"/>
        <w:ind w:left="0" w:firstLine="0"/>
        <w:jc w:val="center"/>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 FDA Seafood Oversight</w:t>
      </w:r>
    </w:p>
    <w:p w:rsidR="00000000" w:rsidDel="00000000" w:rsidP="00000000" w:rsidRDefault="00000000" w:rsidRPr="00000000" w14:paraId="0000002D">
      <w:pPr>
        <w:shd w:fill="ffffff" w:val="clear"/>
        <w:spacing w:before="120" w:line="480" w:lineRule="auto"/>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The FDA traditionally regulates the safety of all seafood. FDA uses a risk-based approach to manage food safety, Hazard Analysis and Critical Control Points (HACCP) through which seafood companies must ensure that domestic or overseas producers analyze their supply chains and mitigate or eliminate risks (e.g., temperature controls, worker cleanliness, prevention of introduced substances, etc.). </w:t>
      </w:r>
    </w:p>
    <w:p w:rsidR="00000000" w:rsidDel="00000000" w:rsidP="00000000" w:rsidRDefault="00000000" w:rsidRPr="00000000" w14:paraId="0000002E">
      <w:pPr>
        <w:numPr>
          <w:ilvl w:val="0"/>
          <w:numId w:val="7"/>
        </w:numPr>
        <w:spacing w:after="0" w:afterAutospacing="0" w:before="12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222222"/>
          <w:sz w:val="24"/>
          <w:szCs w:val="24"/>
          <w:rtl w:val="0"/>
        </w:rPr>
        <w:t xml:space="preserve">HACCP: </w:t>
      </w:r>
      <w:hyperlink r:id="rId11">
        <w:r w:rsidDel="00000000" w:rsidR="00000000" w:rsidRPr="00000000">
          <w:rPr>
            <w:rFonts w:ascii="Times New Roman" w:cs="Times New Roman" w:eastAsia="Times New Roman" w:hAnsi="Times New Roman"/>
            <w:sz w:val="24"/>
            <w:szCs w:val="24"/>
            <w:rtl w:val="0"/>
          </w:rPr>
          <w:t xml:space="preserve">Hazard Analysis Critical Control Point</w:t>
        </w:r>
      </w:hyperlink>
      <w:r w:rsidDel="00000000" w:rsidR="00000000" w:rsidRPr="00000000">
        <w:rPr>
          <w:rFonts w:ascii="Times New Roman" w:cs="Times New Roman" w:eastAsia="Times New Roman" w:hAnsi="Times New Roman"/>
          <w:color w:val="222222"/>
          <w:sz w:val="24"/>
          <w:szCs w:val="24"/>
          <w:rtl w:val="0"/>
        </w:rPr>
        <w:t xml:space="preserve"> is a management system in which food safety is addressed through the analysis and control of biological, chemical, and physical hazards from raw material production, procurement and handling, to manufacturing, distribution and consumption of the finished product</w:t>
      </w:r>
      <w:r w:rsidDel="00000000" w:rsidR="00000000" w:rsidRPr="00000000">
        <w:rPr>
          <w:rFonts w:ascii="Times New Roman" w:cs="Times New Roman" w:eastAsia="Times New Roman" w:hAnsi="Times New Roman"/>
          <w:color w:val="222222"/>
          <w:sz w:val="24"/>
          <w:szCs w:val="24"/>
          <w:vertAlign w:val="superscript"/>
        </w:rPr>
        <w:footnoteReference w:customMarkFollows="0" w:id="7"/>
      </w:r>
      <w:r w:rsidDel="00000000" w:rsidR="00000000" w:rsidRPr="00000000">
        <w:rPr>
          <w:rFonts w:ascii="Times New Roman" w:cs="Times New Roman" w:eastAsia="Times New Roman" w:hAnsi="Times New Roman"/>
          <w:color w:val="222222"/>
          <w:sz w:val="24"/>
          <w:szCs w:val="24"/>
          <w:rtl w:val="0"/>
        </w:rPr>
        <w:t xml:space="preserve">. </w:t>
      </w:r>
      <w:r w:rsidDel="00000000" w:rsidR="00000000" w:rsidRPr="00000000">
        <w:rPr>
          <w:rtl w:val="0"/>
        </w:rPr>
      </w:r>
    </w:p>
    <w:p w:rsidR="00000000" w:rsidDel="00000000" w:rsidP="00000000" w:rsidRDefault="00000000" w:rsidRPr="00000000" w14:paraId="0000002F">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48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222222"/>
          <w:sz w:val="24"/>
          <w:szCs w:val="24"/>
          <w:rtl w:val="0"/>
        </w:rPr>
        <w:t xml:space="preserve">Affirmation of Compliance Codes: </w:t>
      </w:r>
      <w:r w:rsidDel="00000000" w:rsidR="00000000" w:rsidRPr="00000000">
        <w:rPr>
          <w:rFonts w:ascii="Times New Roman" w:cs="Times New Roman" w:eastAsia="Times New Roman" w:hAnsi="Times New Roman"/>
          <w:color w:val="222222"/>
          <w:sz w:val="24"/>
          <w:szCs w:val="24"/>
          <w:rtl w:val="0"/>
        </w:rPr>
        <w:t xml:space="preserve">All FDA-regulated products are expected to be in compliance at the time of entry. To help expedite the FDA’s review of product compliance, the entry filer can submit additional information at the time of entry, such as registration, listing, and approval numbers. This information can be submitted by using Affirmation of Compliance codes (A of C codes)</w:t>
      </w:r>
      <w:r w:rsidDel="00000000" w:rsidR="00000000" w:rsidRPr="00000000">
        <w:rPr>
          <w:rFonts w:ascii="Times New Roman" w:cs="Times New Roman" w:eastAsia="Times New Roman" w:hAnsi="Times New Roman"/>
          <w:color w:val="222222"/>
          <w:sz w:val="24"/>
          <w:szCs w:val="24"/>
          <w:vertAlign w:val="superscript"/>
        </w:rPr>
        <w:footnoteReference w:customMarkFollows="0" w:id="8"/>
      </w:r>
      <w:r w:rsidDel="00000000" w:rsidR="00000000" w:rsidRPr="00000000">
        <w:rPr>
          <w:rFonts w:ascii="Times New Roman" w:cs="Times New Roman" w:eastAsia="Times New Roman" w:hAnsi="Times New Roman"/>
          <w:color w:val="222222"/>
          <w:sz w:val="24"/>
          <w:szCs w:val="24"/>
          <w:rtl w:val="0"/>
        </w:rPr>
        <w:t xml:space="preserve">.</w:t>
      </w:r>
      <w:r w:rsidDel="00000000" w:rsidR="00000000" w:rsidRPr="00000000">
        <w:rPr>
          <w:rtl w:val="0"/>
        </w:rPr>
      </w:r>
    </w:p>
    <w:p w:rsidR="00000000" w:rsidDel="00000000" w:rsidP="00000000" w:rsidRDefault="00000000" w:rsidRPr="00000000" w14:paraId="00000030">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beforeAutospacing="0" w:line="48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222222"/>
          <w:sz w:val="24"/>
          <w:szCs w:val="24"/>
          <w:rtl w:val="0"/>
        </w:rPr>
        <w:t xml:space="preserve">FSMA</w:t>
      </w:r>
      <w:r w:rsidDel="00000000" w:rsidR="00000000" w:rsidRPr="00000000">
        <w:rPr>
          <w:rFonts w:ascii="Times New Roman" w:cs="Times New Roman" w:eastAsia="Times New Roman" w:hAnsi="Times New Roman"/>
          <w:color w:val="222222"/>
          <w:sz w:val="24"/>
          <w:szCs w:val="24"/>
          <w:rtl w:val="0"/>
        </w:rPr>
        <w:t xml:space="preserve">: </w:t>
      </w:r>
      <w:r w:rsidDel="00000000" w:rsidR="00000000" w:rsidRPr="00000000">
        <w:rPr>
          <w:rFonts w:ascii="Times New Roman" w:cs="Times New Roman" w:eastAsia="Times New Roman" w:hAnsi="Times New Roman"/>
          <w:color w:val="222222"/>
          <w:sz w:val="24"/>
          <w:szCs w:val="24"/>
          <w:rtl w:val="0"/>
        </w:rPr>
        <w:t xml:space="preserve">The FDA Food Safety Modernization Act enables the FDA to better protect public health by helping to ensure the safety and security of the food supply.  It requires FDA to promulgate food safety rules that focus on preventing food safety issues rather than relying on detecting issues and reacting to them after they occur.  FSMA recognizes that FDA has previously established a preventive control type regulation for fish and fishery products based on the Hazard Analysis and Critical Control Point (HACCP) concept. The seafood HACCP regulation requires seafood processors to identify food safety hazards that are reasonably likely to occur and to develop plans for the control of those hazards.</w:t>
      </w:r>
      <w:r w:rsidDel="00000000" w:rsidR="00000000" w:rsidRPr="00000000">
        <w:rPr>
          <w:rtl w:val="0"/>
        </w:rPr>
      </w:r>
    </w:p>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0" w:before="120" w:line="480" w:lineRule="auto"/>
        <w:ind w:left="0" w:right="0" w:firstLine="0"/>
        <w:jc w:val="left"/>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0" w:before="120" w:line="480" w:lineRule="auto"/>
        <w:ind w:right="0"/>
        <w:jc w:val="center"/>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b w:val="1"/>
          <w:color w:val="222222"/>
          <w:sz w:val="24"/>
          <w:szCs w:val="24"/>
          <w:rtl w:val="0"/>
        </w:rPr>
        <w:t xml:space="preserve">USDA Food Oversight</w:t>
      </w:r>
      <w:r w:rsidDel="00000000" w:rsidR="00000000" w:rsidRPr="00000000">
        <w:rPr>
          <w:rtl w:val="0"/>
        </w:rPr>
      </w:r>
    </w:p>
    <w:p w:rsidR="00000000" w:rsidDel="00000000" w:rsidP="00000000" w:rsidRDefault="00000000" w:rsidRPr="00000000" w14:paraId="00000033">
      <w:pPr>
        <w:shd w:fill="ffffff" w:val="clear"/>
        <w:spacing w:before="120" w:line="480" w:lineRule="auto"/>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color w:val="222222"/>
          <w:sz w:val="24"/>
          <w:szCs w:val="24"/>
          <w:highlight w:val="white"/>
          <w:rtl w:val="0"/>
        </w:rPr>
        <w:t xml:space="preserve">USDA’s Food Safety and Inspection Service is the public health agency in the U.S. Department of Agriculture responsible for ensuring that the nation’s supply of meat, poultry and egg products is safe, wholesome, and correctly labeled and packaged.</w:t>
      </w:r>
      <w:r w:rsidDel="00000000" w:rsidR="00000000" w:rsidRPr="00000000">
        <w:rPr>
          <w:rFonts w:ascii="Times New Roman" w:cs="Times New Roman" w:eastAsia="Times New Roman" w:hAnsi="Times New Roman"/>
          <w:b w:val="1"/>
          <w:color w:val="222222"/>
          <w:sz w:val="24"/>
          <w:szCs w:val="24"/>
          <w:highlight w:val="white"/>
          <w:rtl w:val="0"/>
        </w:rPr>
        <w:t xml:space="preserve"> </w:t>
      </w:r>
      <w:r w:rsidDel="00000000" w:rsidR="00000000" w:rsidRPr="00000000">
        <w:rPr>
          <w:rFonts w:ascii="Times New Roman" w:cs="Times New Roman" w:eastAsia="Times New Roman" w:hAnsi="Times New Roman"/>
          <w:b w:val="1"/>
          <w:color w:val="222222"/>
          <w:sz w:val="24"/>
          <w:szCs w:val="24"/>
          <w:rtl w:val="0"/>
        </w:rPr>
        <w:t xml:space="preserve">USDA, uses an “equivalence” system in which an exporting country's government must be deemed to have a food safety system for the specific product that is “equivalent” to the USDA system.  Few countries earn equivalence.</w:t>
      </w:r>
    </w:p>
    <w:p w:rsidR="00000000" w:rsidDel="00000000" w:rsidP="00000000" w:rsidRDefault="00000000" w:rsidRPr="00000000" w14:paraId="00000034">
      <w:pPr>
        <w:shd w:fill="ffffff" w:val="clear"/>
        <w:spacing w:before="120" w:line="480" w:lineRule="auto"/>
        <w:rPr>
          <w:rFonts w:ascii="Times New Roman" w:cs="Times New Roman" w:eastAsia="Times New Roman" w:hAnsi="Times New Roman"/>
          <w:b w:val="1"/>
          <w:color w:val="222222"/>
          <w:sz w:val="24"/>
          <w:szCs w:val="24"/>
        </w:rPr>
      </w:pPr>
      <w:r w:rsidDel="00000000" w:rsidR="00000000" w:rsidRPr="00000000">
        <w:rPr>
          <w:rtl w:val="0"/>
        </w:rPr>
      </w:r>
    </w:p>
    <w:p w:rsidR="00000000" w:rsidDel="00000000" w:rsidP="00000000" w:rsidRDefault="00000000" w:rsidRPr="00000000" w14:paraId="00000035">
      <w:pPr>
        <w:spacing w:line="480" w:lineRule="auto"/>
        <w:jc w:val="center"/>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sz w:val="24"/>
          <w:szCs w:val="24"/>
          <w:rtl w:val="0"/>
        </w:rPr>
        <w:t xml:space="preserve">Transition of Regulatory Authority</w:t>
      </w:r>
      <w:r w:rsidDel="00000000" w:rsidR="00000000" w:rsidRPr="00000000">
        <w:rPr>
          <w:rtl w:val="0"/>
        </w:rPr>
      </w:r>
    </w:p>
    <w:p w:rsidR="00000000" w:rsidDel="00000000" w:rsidP="00000000" w:rsidRDefault="00000000" w:rsidRPr="00000000" w14:paraId="00000036">
      <w:pPr>
        <w:shd w:fill="ffffff" w:val="clear"/>
        <w:spacing w:before="120" w:line="480" w:lineRule="auto"/>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Regulations applying to the Siluriformes fish industry are adapted under the Federal Meat Inspection Act, as required by law under the 2014 Farm Bill. U.S. Department of Agriculture’s Food Safety and Inspection Service (FSIS) released a final rule establishing an inspection program for fish under the order Siluriformes, including catfish. The final rule, which applies to both domestically-raised and imported Siluriformes fish, was developed in order to implement provisions required by the 2014 Farm Bill. The rule became effective in March 2016, 90 days after it was published in the </w:t>
      </w:r>
      <w:r w:rsidDel="00000000" w:rsidR="00000000" w:rsidRPr="00000000">
        <w:rPr>
          <w:rFonts w:ascii="Times New Roman" w:cs="Times New Roman" w:eastAsia="Times New Roman" w:hAnsi="Times New Roman"/>
          <w:color w:val="222222"/>
          <w:sz w:val="24"/>
          <w:szCs w:val="24"/>
          <w:highlight w:val="white"/>
          <w:rtl w:val="0"/>
        </w:rPr>
        <w:t xml:space="preserve">Federal Register</w:t>
      </w:r>
      <w:r w:rsidDel="00000000" w:rsidR="00000000" w:rsidRPr="00000000">
        <w:rPr>
          <w:rFonts w:ascii="Times New Roman" w:cs="Times New Roman" w:eastAsia="Times New Roman" w:hAnsi="Times New Roman"/>
          <w:color w:val="222222"/>
          <w:sz w:val="24"/>
          <w:szCs w:val="24"/>
          <w:highlight w:val="white"/>
          <w:rtl w:val="0"/>
        </w:rPr>
        <w:t xml:space="preserve">.</w:t>
      </w:r>
    </w:p>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ffffff" w:val="clear"/>
        <w:spacing w:after="0" w:before="120" w:line="480" w:lineRule="auto"/>
        <w:ind w:left="0" w:right="0" w:firstLine="0"/>
        <w:jc w:val="center"/>
        <w:rPr>
          <w:rFonts w:ascii="Times New Roman" w:cs="Times New Roman" w:eastAsia="Times New Roman" w:hAnsi="Times New Roman"/>
          <w:b w:val="1"/>
          <w:color w:val="222222"/>
          <w:sz w:val="24"/>
          <w:szCs w:val="24"/>
          <w:highlight w:val="white"/>
        </w:rPr>
      </w:pPr>
      <w:r w:rsidDel="00000000" w:rsidR="00000000" w:rsidRPr="00000000">
        <w:rPr>
          <w:rFonts w:ascii="Times New Roman" w:cs="Times New Roman" w:eastAsia="Times New Roman" w:hAnsi="Times New Roman"/>
          <w:b w:val="1"/>
          <w:color w:val="222222"/>
          <w:sz w:val="24"/>
          <w:szCs w:val="24"/>
          <w:highlight w:val="white"/>
          <w:rtl w:val="0"/>
        </w:rPr>
        <w:t xml:space="preserve">Vietnam Earned Equivalence in 2019</w:t>
      </w:r>
    </w:p>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ffffff" w:val="clear"/>
        <w:spacing w:after="0" w:before="120" w:line="480" w:lineRule="auto"/>
        <w:ind w:left="0" w:right="0" w:firstLine="0"/>
        <w:jc w:val="left"/>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color w:val="222222"/>
          <w:sz w:val="24"/>
          <w:szCs w:val="24"/>
          <w:highlight w:val="white"/>
          <w:rtl w:val="0"/>
        </w:rPr>
        <w:t xml:space="preserve">Vietnam has been allowed to export Siluriformes fish and fish products to the United States under the conditions described in the proposed rule (</w:t>
      </w:r>
      <w:hyperlink r:id="rId12">
        <w:r w:rsidDel="00000000" w:rsidR="00000000" w:rsidRPr="00000000">
          <w:rPr>
            <w:rFonts w:ascii="Times New Roman" w:cs="Times New Roman" w:eastAsia="Times New Roman" w:hAnsi="Times New Roman"/>
            <w:color w:val="222222"/>
            <w:sz w:val="24"/>
            <w:szCs w:val="24"/>
            <w:highlight w:val="white"/>
            <w:rtl w:val="0"/>
          </w:rPr>
          <w:t xml:space="preserve">83 FR 47528</w:t>
        </w:r>
      </w:hyperlink>
      <w:r w:rsidDel="00000000" w:rsidR="00000000" w:rsidRPr="00000000">
        <w:rPr>
          <w:rFonts w:ascii="Times New Roman" w:cs="Times New Roman" w:eastAsia="Times New Roman" w:hAnsi="Times New Roman"/>
          <w:color w:val="222222"/>
          <w:sz w:val="24"/>
          <w:szCs w:val="24"/>
          <w:highlight w:val="white"/>
          <w:vertAlign w:val="superscript"/>
        </w:rPr>
        <w:footnoteReference w:customMarkFollows="0" w:id="9"/>
      </w:r>
      <w:r w:rsidDel="00000000" w:rsidR="00000000" w:rsidRPr="00000000">
        <w:rPr>
          <w:rFonts w:ascii="Times New Roman" w:cs="Times New Roman" w:eastAsia="Times New Roman" w:hAnsi="Times New Roman"/>
          <w:color w:val="222222"/>
          <w:sz w:val="24"/>
          <w:szCs w:val="24"/>
          <w:highlight w:val="white"/>
          <w:rtl w:val="0"/>
        </w:rPr>
        <w:t xml:space="preserve">). On November 5, 2019, FSIS published a final rule to list Vietnam in the regulations as eligible to export Siluriformes fish and fish products to the United States</w:t>
      </w:r>
      <w:r w:rsidDel="00000000" w:rsidR="00000000" w:rsidRPr="00000000">
        <w:rPr>
          <w:rFonts w:ascii="Times New Roman" w:cs="Times New Roman" w:eastAsia="Times New Roman" w:hAnsi="Times New Roman"/>
          <w:color w:val="222222"/>
          <w:sz w:val="24"/>
          <w:szCs w:val="24"/>
          <w:highlight w:val="white"/>
          <w:vertAlign w:val="superscript"/>
        </w:rPr>
        <w:footnoteReference w:customMarkFollows="0" w:id="10"/>
      </w:r>
      <w:r w:rsidDel="00000000" w:rsidR="00000000" w:rsidRPr="00000000">
        <w:rPr>
          <w:rFonts w:ascii="Times New Roman" w:cs="Times New Roman" w:eastAsia="Times New Roman" w:hAnsi="Times New Roman"/>
          <w:color w:val="222222"/>
          <w:sz w:val="24"/>
          <w:szCs w:val="24"/>
          <w:highlight w:val="white"/>
          <w:rtl w:val="0"/>
        </w:rPr>
        <w:t xml:space="preserve">.</w:t>
      </w:r>
      <w:r w:rsidDel="00000000" w:rsidR="00000000" w:rsidRPr="00000000">
        <w:rPr>
          <w:rtl w:val="0"/>
        </w:rPr>
      </w:r>
    </w:p>
    <w:p w:rsidR="00000000" w:rsidDel="00000000" w:rsidP="00000000" w:rsidRDefault="00000000" w:rsidRPr="00000000" w14:paraId="00000039">
      <w:pPr>
        <w:shd w:fill="ffffff" w:val="clear"/>
        <w:spacing w:before="120" w:line="480" w:lineRule="auto"/>
        <w:rPr>
          <w:rFonts w:ascii="Times New Roman" w:cs="Times New Roman" w:eastAsia="Times New Roman" w:hAnsi="Times New Roman"/>
          <w:color w:val="222222"/>
          <w:sz w:val="24"/>
          <w:szCs w:val="24"/>
          <w:highlight w:val="white"/>
        </w:rPr>
      </w:pPr>
      <w:r w:rsidDel="00000000" w:rsidR="00000000" w:rsidRPr="00000000">
        <w:rPr>
          <w:rtl w:val="0"/>
        </w:rPr>
      </w:r>
    </w:p>
    <w:p w:rsidR="00000000" w:rsidDel="00000000" w:rsidP="00000000" w:rsidRDefault="00000000" w:rsidRPr="00000000" w14:paraId="0000003A">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III. Project Purpose </w:t>
      </w:r>
    </w:p>
    <w:p w:rsidR="00000000" w:rsidDel="00000000" w:rsidP="00000000" w:rsidRDefault="00000000" w:rsidRPr="00000000" w14:paraId="0000003B">
      <w:pPr>
        <w:shd w:fill="ffffff" w:val="clear"/>
        <w:spacing w:before="12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222222"/>
          <w:sz w:val="24"/>
          <w:szCs w:val="24"/>
          <w:rtl w:val="0"/>
        </w:rPr>
        <w:t xml:space="preserve">The National Fisheries Institute represents the full seafood supply chain, from harvesters in Alaska to those that source fish globally to retailer and restaurant groups. This research is funded by NFI.  </w:t>
      </w:r>
      <w:r w:rsidDel="00000000" w:rsidR="00000000" w:rsidRPr="00000000">
        <w:rPr>
          <w:rFonts w:ascii="Times New Roman" w:cs="Times New Roman" w:eastAsia="Times New Roman" w:hAnsi="Times New Roman"/>
          <w:color w:val="222222"/>
          <w:sz w:val="24"/>
          <w:szCs w:val="24"/>
          <w:rtl w:val="0"/>
        </w:rPr>
        <w:t xml:space="preserve">Some other domestic seafood sectors that seek to block competing imports are now considering seeking Congressional or Administration action to shift food safety oversight of their sector from FDA to USDA. </w:t>
      </w:r>
      <w:r w:rsidDel="00000000" w:rsidR="00000000" w:rsidRPr="00000000">
        <w:rPr>
          <w:rtl w:val="0"/>
        </w:rPr>
      </w:r>
    </w:p>
    <w:p w:rsidR="00000000" w:rsidDel="00000000" w:rsidP="00000000" w:rsidRDefault="00000000" w:rsidRPr="00000000" w14:paraId="0000003C">
      <w:pPr>
        <w:shd w:fill="ffffff" w:val="clear"/>
        <w:spacing w:before="120" w:line="48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This research will generate </w:t>
      </w:r>
      <w:r w:rsidDel="00000000" w:rsidR="00000000" w:rsidRPr="00000000">
        <w:rPr>
          <w:rFonts w:ascii="Times New Roman" w:cs="Times New Roman" w:eastAsia="Times New Roman" w:hAnsi="Times New Roman"/>
          <w:sz w:val="24"/>
          <w:szCs w:val="24"/>
          <w:rtl w:val="0"/>
        </w:rPr>
        <w:t xml:space="preserve">an analysis of rejection rates of catfish/pangasius when regulated by FDA and when regulated by USDA. </w:t>
      </w:r>
      <w:r w:rsidDel="00000000" w:rsidR="00000000" w:rsidRPr="00000000">
        <w:rPr>
          <w:rFonts w:ascii="Times New Roman" w:cs="Times New Roman" w:eastAsia="Times New Roman" w:hAnsi="Times New Roman"/>
          <w:color w:val="222222"/>
          <w:sz w:val="24"/>
          <w:szCs w:val="24"/>
          <w:rtl w:val="0"/>
        </w:rPr>
        <w:t xml:space="preserve">This research will address the effectiveness and implications of shifting regulatory authority over catfish-like seafood industries.</w:t>
      </w:r>
    </w:p>
    <w:p w:rsidR="00000000" w:rsidDel="00000000" w:rsidP="00000000" w:rsidRDefault="00000000" w:rsidRPr="00000000" w14:paraId="0000003D">
      <w:pPr>
        <w:shd w:fill="ffffff" w:val="clear"/>
        <w:spacing w:before="120" w:line="480" w:lineRule="auto"/>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3E">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IV. Research Plan </w:t>
      </w:r>
    </w:p>
    <w:p w:rsidR="00000000" w:rsidDel="00000000" w:rsidP="00000000" w:rsidRDefault="00000000" w:rsidRPr="00000000" w14:paraId="0000003F">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1. Research Question: </w:t>
      </w:r>
    </w:p>
    <w:p w:rsidR="00000000" w:rsidDel="00000000" w:rsidP="00000000" w:rsidRDefault="00000000" w:rsidRPr="00000000" w14:paraId="00000040">
      <w:pPr>
        <w:numPr>
          <w:ilvl w:val="0"/>
          <w:numId w:val="6"/>
        </w:numPr>
        <w:spacing w:line="480" w:lineRule="auto"/>
        <w:ind w:left="720" w:hanging="360"/>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4"/>
          <w:szCs w:val="24"/>
          <w:u w:val="single"/>
          <w:rtl w:val="0"/>
        </w:rPr>
        <w:t xml:space="preserve">Is there a </w:t>
      </w:r>
      <w:r w:rsidDel="00000000" w:rsidR="00000000" w:rsidRPr="00000000">
        <w:rPr>
          <w:rFonts w:ascii="Times New Roman" w:cs="Times New Roman" w:eastAsia="Times New Roman" w:hAnsi="Times New Roman"/>
          <w:b w:val="1"/>
          <w:color w:val="222222"/>
          <w:sz w:val="24"/>
          <w:szCs w:val="24"/>
          <w:u w:val="single"/>
          <w:rtl w:val="0"/>
        </w:rPr>
        <w:t xml:space="preserve">difference in the Effectiveness of Regulation on Catfish between FDA and USDA?</w:t>
      </w:r>
    </w:p>
    <w:p w:rsidR="00000000" w:rsidDel="00000000" w:rsidP="00000000" w:rsidRDefault="00000000" w:rsidRPr="00000000" w14:paraId="00000041">
      <w:pPr>
        <w:spacing w:line="480"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2">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2. Tasklist:</w:t>
      </w:r>
    </w:p>
    <w:p w:rsidR="00000000" w:rsidDel="00000000" w:rsidP="00000000" w:rsidRDefault="00000000" w:rsidRPr="00000000" w14:paraId="00000043">
      <w:pPr>
        <w:spacing w:line="480" w:lineRule="auto"/>
        <w:ind w:left="0" w:firstLine="0"/>
        <w:rPr>
          <w:rFonts w:ascii="Times New Roman" w:cs="Times New Roman" w:eastAsia="Times New Roman" w:hAnsi="Times New Roman"/>
          <w:sz w:val="24"/>
          <w:szCs w:val="24"/>
        </w:rPr>
      </w:pPr>
      <w:r w:rsidDel="00000000" w:rsidR="00000000" w:rsidRPr="00000000">
        <w:rPr>
          <w:rtl w:val="0"/>
        </w:rPr>
      </w:r>
    </w:p>
    <w:tbl>
      <w:tblPr>
        <w:tblStyle w:val="Table1"/>
        <w:tblW w:w="8640.0" w:type="dxa"/>
        <w:jc w:val="left"/>
        <w:tblInd w:w="8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6390"/>
        <w:tblGridChange w:id="0">
          <w:tblGrid>
            <w:gridCol w:w="2250"/>
            <w:gridCol w:w="6390"/>
          </w:tblGrid>
        </w:tblGridChange>
      </w:tblGrid>
      <w:tr>
        <w:trPr>
          <w:trHeight w:val="860.9765625"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numPr>
                <w:ilvl w:val="0"/>
                <w:numId w:val="2"/>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Data collection</w:t>
            </w:r>
          </w:p>
          <w:p w:rsidR="00000000" w:rsidDel="00000000" w:rsidP="00000000" w:rsidRDefault="00000000" w:rsidRPr="00000000" w14:paraId="00000045">
            <w:pPr>
              <w:spacing w:line="48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Denominator data: number of imports of pangasius and other similar seafood products from Vietnam, China, Thailand from 2012 to 2020. </w:t>
            </w:r>
          </w:p>
          <w:p w:rsidR="00000000" w:rsidDel="00000000" w:rsidP="00000000" w:rsidRDefault="00000000" w:rsidRPr="00000000" w14:paraId="00000047">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Numerator data: number of rejections on imports of seafood products in question, with time and reasons </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48">
            <w:pPr>
              <w:numPr>
                <w:ilvl w:val="0"/>
                <w:numId w:val="2"/>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Literature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Catfish market history of the United States and Vietnam. </w:t>
            </w:r>
          </w:p>
          <w:p w:rsidR="00000000" w:rsidDel="00000000" w:rsidP="00000000" w:rsidRDefault="00000000" w:rsidRPr="00000000" w14:paraId="0000004A">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Related regulations and laws.</w:t>
            </w:r>
          </w:p>
          <w:p w:rsidR="00000000" w:rsidDel="00000000" w:rsidP="00000000" w:rsidRDefault="00000000" w:rsidRPr="00000000" w14:paraId="0000004B">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Stakeholders’ political dynamics </w:t>
            </w:r>
          </w:p>
          <w:p w:rsidR="00000000" w:rsidDel="00000000" w:rsidP="00000000" w:rsidRDefault="00000000" w:rsidRPr="00000000" w14:paraId="0000004C">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Evaluation of the effectiveness of HACCP and FSMA. </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4D">
            <w:pPr>
              <w:numPr>
                <w:ilvl w:val="0"/>
                <w:numId w:val="2"/>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Data analysis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right="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Comparison of the rejection rates and analysis of  the effectiveness of programs between FDA and USDA.</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4F">
            <w:pPr>
              <w:numPr>
                <w:ilvl w:val="0"/>
                <w:numId w:val="2"/>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Feedbacks and Consultation with NFI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0" w:line="480" w:lineRule="auto"/>
              <w:ind w:right="0"/>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51">
      <w:pPr>
        <w:spacing w:line="480" w:lineRule="auto"/>
        <w:ind w:left="0" w:firstLine="0"/>
        <w:rPr>
          <w:rFonts w:ascii="Times New Roman" w:cs="Times New Roman" w:eastAsia="Times New Roman" w:hAnsi="Times New Roman"/>
          <w:sz w:val="24"/>
          <w:szCs w:val="24"/>
        </w:rPr>
      </w:pPr>
      <w:r w:rsidDel="00000000" w:rsidR="00000000" w:rsidRPr="00000000">
        <w:rPr>
          <w:rtl w:val="0"/>
        </w:rPr>
      </w:r>
    </w:p>
    <w:sectPr>
      <w:footerReference r:id="rId1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2">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otnote w:id="9">
    <w:p w:rsidR="00000000" w:rsidDel="00000000" w:rsidP="00000000" w:rsidRDefault="00000000" w:rsidRPr="00000000" w14:paraId="00000053">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p>
    <w:p w:rsidR="00000000" w:rsidDel="00000000" w:rsidP="00000000" w:rsidRDefault="00000000" w:rsidRPr="00000000" w14:paraId="00000054">
      <w:pP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https://www.fsis.usda.gov/wps/wcm/connect/ea0025a0-7cc7-41b7-b115-ace391895d63/2018-0029.pdf?MOD=AJPERES</w:t>
      </w:r>
    </w:p>
  </w:footnote>
  <w:footnote w:id="10">
    <w:p w:rsidR="00000000" w:rsidDel="00000000" w:rsidP="00000000" w:rsidRDefault="00000000" w:rsidRPr="00000000" w14:paraId="00000055">
      <w:pPr>
        <w:spacing w:line="240" w:lineRule="auto"/>
        <w:rPr>
          <w:sz w:val="14"/>
          <w:szCs w:val="14"/>
        </w:rPr>
      </w:pPr>
      <w:r w:rsidDel="00000000" w:rsidR="00000000" w:rsidRPr="00000000">
        <w:rPr>
          <w:rStyle w:val="FootnoteReference"/>
          <w:vertAlign w:val="superscript"/>
        </w:rPr>
        <w:footnoteRef/>
      </w:r>
      <w:r w:rsidDel="00000000" w:rsidR="00000000" w:rsidRPr="00000000">
        <w:rPr>
          <w:sz w:val="14"/>
          <w:szCs w:val="14"/>
          <w:rtl w:val="0"/>
        </w:rPr>
        <w:t xml:space="preserve"> </w:t>
      </w:r>
      <w:r w:rsidDel="00000000" w:rsidR="00000000" w:rsidRPr="00000000">
        <w:rPr>
          <w:rFonts w:ascii="Times New Roman" w:cs="Times New Roman" w:eastAsia="Times New Roman" w:hAnsi="Times New Roman"/>
          <w:sz w:val="18"/>
          <w:szCs w:val="18"/>
          <w:rtl w:val="0"/>
        </w:rPr>
        <w:t xml:space="preserve">https://www.fsis.usda.gov/wps/portal/fsis/topics/international-affairs/importing-products/eligible-countries-products-foreign-establishments/eligible-countries-and-products/eligibility-chart-vietnam</w:t>
      </w:r>
      <w:r w:rsidDel="00000000" w:rsidR="00000000" w:rsidRPr="00000000">
        <w:rPr>
          <w:rtl w:val="0"/>
        </w:rPr>
      </w:r>
    </w:p>
  </w:footnote>
  <w:footnote w:id="8">
    <w:p w:rsidR="00000000" w:rsidDel="00000000" w:rsidP="00000000" w:rsidRDefault="00000000" w:rsidRPr="00000000" w14:paraId="00000056">
      <w:pPr>
        <w:spacing w:line="240" w:lineRule="auto"/>
        <w:rPr>
          <w:rFonts w:ascii="Times New Roman" w:cs="Times New Roman" w:eastAsia="Times New Roman" w:hAnsi="Times New Roman"/>
          <w:sz w:val="16"/>
          <w:szCs w:val="16"/>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16"/>
          <w:szCs w:val="16"/>
          <w:rtl w:val="0"/>
        </w:rPr>
        <w:t xml:space="preserve">https://www.fda.gov/industry/entry-submission-process/affirmation-compliance-codes</w:t>
      </w:r>
    </w:p>
  </w:footnote>
  <w:footnote w:id="7">
    <w:p w:rsidR="00000000" w:rsidDel="00000000" w:rsidP="00000000" w:rsidRDefault="00000000" w:rsidRPr="00000000" w14:paraId="00000057">
      <w:pPr>
        <w:spacing w:line="240" w:lineRule="auto"/>
        <w:rPr>
          <w:rFonts w:ascii="Times New Roman" w:cs="Times New Roman" w:eastAsia="Times New Roman" w:hAnsi="Times New Roman"/>
          <w:sz w:val="16"/>
          <w:szCs w:val="16"/>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16"/>
          <w:szCs w:val="16"/>
          <w:rtl w:val="0"/>
        </w:rPr>
        <w:t xml:space="preserve">https://www.fda.gov/food/guidance-regulation-food-and-dietary-supplements/hazard-analysis-critical-control-point-haccp</w:t>
      </w:r>
    </w:p>
  </w:footnote>
  <w:footnote w:id="2">
    <w:p w:rsidR="00000000" w:rsidDel="00000000" w:rsidP="00000000" w:rsidRDefault="00000000" w:rsidRPr="00000000" w14:paraId="00000058">
      <w:pPr>
        <w:spacing w:line="240" w:lineRule="auto"/>
        <w:rPr>
          <w:rFonts w:ascii="Times New Roman" w:cs="Times New Roman" w:eastAsia="Times New Roman" w:hAnsi="Times New Roman"/>
          <w:sz w:val="16"/>
          <w:szCs w:val="16"/>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6"/>
          <w:szCs w:val="16"/>
          <w:rtl w:val="0"/>
        </w:rPr>
        <w:t xml:space="preserve"> https://www.legis.la.gov/Legis/BillInfo.aspx?i=227100</w:t>
      </w:r>
    </w:p>
  </w:footnote>
  <w:footnote w:id="3">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6"/>
          <w:szCs w:val="16"/>
          <w:rtl w:val="0"/>
        </w:rPr>
        <w:t xml:space="preserve"> http://www.capitol.tn.gov/Bills/107/Bill/HB3136.pdf</w:t>
      </w:r>
    </w:p>
  </w:footnote>
  <w:footnote w:id="4">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6"/>
          <w:szCs w:val="16"/>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6"/>
          <w:szCs w:val="16"/>
          <w:rtl w:val="0"/>
        </w:rPr>
        <w:t xml:space="preserve"> http://billstatus.ls.state.ms.us/documents/2019/html/HB/0700-0799/HB0771IN.htm</w:t>
      </w:r>
    </w:p>
  </w:footnote>
  <w:footnote w:id="5">
    <w:p w:rsidR="00000000" w:rsidDel="00000000" w:rsidP="00000000" w:rsidRDefault="00000000" w:rsidRPr="00000000" w14:paraId="0000005B">
      <w:pPr>
        <w:spacing w:line="240" w:lineRule="auto"/>
        <w:rPr>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6"/>
          <w:szCs w:val="16"/>
          <w:rtl w:val="0"/>
        </w:rPr>
        <w:t xml:space="preserve"> https://core.ac.uk/download/pdf/267981684.pdf</w:t>
      </w:r>
      <w:r w:rsidDel="00000000" w:rsidR="00000000" w:rsidRPr="00000000">
        <w:rPr>
          <w:rtl w:val="0"/>
        </w:rPr>
      </w:r>
    </w:p>
  </w:footnote>
  <w:footnote w:id="6">
    <w:p w:rsidR="00000000" w:rsidDel="00000000" w:rsidP="00000000" w:rsidRDefault="00000000" w:rsidRPr="00000000" w14:paraId="0000005C">
      <w:pPr>
        <w:spacing w:line="240" w:lineRule="auto"/>
        <w:rPr>
          <w:rFonts w:ascii="Times New Roman" w:cs="Times New Roman" w:eastAsia="Times New Roman" w:hAnsi="Times New Roman"/>
          <w:sz w:val="16"/>
          <w:szCs w:val="16"/>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6"/>
          <w:szCs w:val="16"/>
          <w:rtl w:val="0"/>
        </w:rPr>
        <w:t xml:space="preserve"> https://www.agecon.msstate.edu/whatwedo/budgets/docs/catfish2014.pdf</w:t>
      </w:r>
    </w:p>
  </w:footnote>
  <w:footnote w:id="0">
    <w:p w:rsidR="00000000" w:rsidDel="00000000" w:rsidP="00000000" w:rsidRDefault="00000000" w:rsidRPr="00000000" w14:paraId="0000005D">
      <w:pPr>
        <w:spacing w:line="240" w:lineRule="auto"/>
        <w:rPr>
          <w:rFonts w:ascii="Times New Roman" w:cs="Times New Roman" w:eastAsia="Times New Roman" w:hAnsi="Times New Roman"/>
          <w:sz w:val="16"/>
          <w:szCs w:val="16"/>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16"/>
          <w:szCs w:val="16"/>
          <w:rtl w:val="0"/>
        </w:rPr>
        <w:t xml:space="preserve">https://www.federalregister.gov/documents/2011/02/24/2011-3726/mandatory-inspection-of-catfish-and-catfish-products</w:t>
      </w:r>
    </w:p>
  </w:footnote>
  <w:footnote w:id="1">
    <w:p w:rsidR="00000000" w:rsidDel="00000000" w:rsidP="00000000" w:rsidRDefault="00000000" w:rsidRPr="00000000" w14:paraId="0000005E">
      <w:pPr>
        <w:spacing w:line="240" w:lineRule="auto"/>
        <w:rPr>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6"/>
          <w:szCs w:val="16"/>
          <w:rtl w:val="0"/>
        </w:rPr>
        <w:t xml:space="preserve"> https://www.federalregister.gov/documents/2011/02/24/2011-3726/mandatory-inspection-of-catfish-and-catfish-products</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b w:val="1"/>
        <w:color w:val="222222"/>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fda.gov/food/guidance-regulation-food-and-dietary-supplements/hazard-analysis-critical-control-point-haccp" TargetMode="External"/><Relationship Id="rId10" Type="http://schemas.openxmlformats.org/officeDocument/2006/relationships/hyperlink" Target="https://www.fda.gov/food/guidance-regulation-food-and-dietary-supplements/hazard-analysis-critical-control-point-haccp" TargetMode="External"/><Relationship Id="rId13" Type="http://schemas.openxmlformats.org/officeDocument/2006/relationships/footer" Target="footer1.xml"/><Relationship Id="rId12" Type="http://schemas.openxmlformats.org/officeDocument/2006/relationships/hyperlink" Target="https://www.fsis.usda.gov/wps/wcm/connect/ea0025a0-7cc7-41b7-b115-ace391895d63/2018-0029.pdf?MOD=AJPER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www.fda.gov/food/guidance-regulation-food-and-dietary-supplements/food-safety-modernization-act-fsma"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cbp.gov/trade/priority-issues/revenue/bonds" TargetMode="External"/><Relationship Id="rId8" Type="http://schemas.openxmlformats.org/officeDocument/2006/relationships/hyperlink" Target="https://www.fda.gov/ho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