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93D2" w14:textId="77777777" w:rsidR="00E971CE" w:rsidRPr="002170A2" w:rsidRDefault="00000000" w:rsidP="002170A2">
      <w:pPr>
        <w:spacing w:after="80"/>
        <w:rPr>
          <w:sz w:val="32"/>
          <w:szCs w:val="32"/>
        </w:rPr>
      </w:pPr>
      <w:r w:rsidRPr="002170A2">
        <w:rPr>
          <w:b/>
          <w:bCs/>
          <w:sz w:val="32"/>
          <w:szCs w:val="32"/>
        </w:rPr>
        <w:t>REPORTE EJECUTIVO</w:t>
      </w:r>
    </w:p>
    <w:p w14:paraId="5A9D98C2" w14:textId="77777777" w:rsidR="00E971CE" w:rsidRPr="002170A2" w:rsidRDefault="00000000" w:rsidP="002170A2">
      <w:pPr>
        <w:spacing w:after="80"/>
        <w:rPr>
          <w:sz w:val="24"/>
          <w:szCs w:val="24"/>
        </w:rPr>
      </w:pPr>
      <w:r w:rsidRPr="002170A2">
        <w:rPr>
          <w:sz w:val="24"/>
          <w:szCs w:val="24"/>
        </w:rPr>
        <w:t>Análisis de Aprovechamiento de Residuos — Sistema Único de Información (SUI)</w:t>
      </w:r>
    </w:p>
    <w:p w14:paraId="30C8F71B" w14:textId="01722B9D" w:rsidR="002170A2" w:rsidRPr="002170A2" w:rsidRDefault="00000000" w:rsidP="002170A2">
      <w:pPr>
        <w:spacing w:after="240"/>
        <w:rPr>
          <w:sz w:val="24"/>
          <w:szCs w:val="24"/>
        </w:rPr>
      </w:pPr>
      <w:r w:rsidRPr="002170A2">
        <w:rPr>
          <w:sz w:val="24"/>
          <w:szCs w:val="24"/>
        </w:rPr>
        <w:t xml:space="preserve">Dirección Ejecutiva CEMPRE | </w:t>
      </w:r>
      <w:r w:rsidR="002170A2" w:rsidRPr="002170A2">
        <w:rPr>
          <w:sz w:val="24"/>
          <w:szCs w:val="24"/>
        </w:rPr>
        <w:t>junio</w:t>
      </w:r>
      <w:r w:rsidRPr="002170A2">
        <w:rPr>
          <w:sz w:val="24"/>
          <w:szCs w:val="24"/>
        </w:rPr>
        <w:t xml:space="preserve"> 2026</w:t>
      </w:r>
      <w:r w:rsidR="002170A2" w:rsidRPr="002170A2">
        <w:rPr>
          <w:sz w:val="24"/>
          <w:szCs w:val="24"/>
        </w:rPr>
        <w:br/>
        <w:t>Prueba Analista de datos Miguel Ángel Bolivar</w:t>
      </w:r>
    </w:p>
    <w:p w14:paraId="1B249405" w14:textId="77777777" w:rsidR="00E971CE" w:rsidRPr="002170A2" w:rsidRDefault="00E971CE" w:rsidP="002170A2">
      <w:pPr>
        <w:pBdr>
          <w:bottom w:val="single" w:sz="8" w:space="1" w:color="1A7A5E"/>
        </w:pBdr>
        <w:spacing w:after="240"/>
        <w:jc w:val="both"/>
        <w:rPr>
          <w:sz w:val="24"/>
          <w:szCs w:val="24"/>
        </w:rPr>
      </w:pPr>
    </w:p>
    <w:p w14:paraId="654F49B9" w14:textId="77777777" w:rsidR="00E971CE" w:rsidRPr="002170A2" w:rsidRDefault="00000000" w:rsidP="002170A2">
      <w:pPr>
        <w:pStyle w:val="Ttulo1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1. Resumen ejecutivo</w:t>
      </w:r>
    </w:p>
    <w:p w14:paraId="2DCC2A1B" w14:textId="77777777" w:rsidR="00E971CE" w:rsidRPr="002170A2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El análisis del Sistema Único de Información (SUI) de la SSPD sobre toneladas aprovechadas a corte de abril de 2026 revela un crecimiento sostenido del sector de aprovechamiento en Colombia, con un total de 3.174.917 toneladas reportadas en 2025 y un crecimiento interanual del 15,27%. Sin embargo, persisten brechas significativas en la calidad del reporte, una alta concentración geográfica en la región Andina y riesgos operativos derivados del volumen de reversiones registradas en 2021.</w:t>
      </w:r>
    </w:p>
    <w:p w14:paraId="0C7816DE" w14:textId="77777777" w:rsidR="00E971CE" w:rsidRPr="002170A2" w:rsidRDefault="00E971CE" w:rsidP="002170A2">
      <w:pPr>
        <w:spacing w:after="120"/>
        <w:jc w:val="both"/>
        <w:rPr>
          <w:sz w:val="24"/>
          <w:szCs w:val="24"/>
        </w:rPr>
      </w:pPr>
    </w:p>
    <w:p w14:paraId="7611F9F1" w14:textId="77777777" w:rsidR="00E971CE" w:rsidRPr="002170A2" w:rsidRDefault="00000000" w:rsidP="002170A2">
      <w:pPr>
        <w:pStyle w:val="Ttulo1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2. Hallazgos principales</w:t>
      </w:r>
    </w:p>
    <w:p w14:paraId="2AAE94B4" w14:textId="77777777" w:rsidR="00E971CE" w:rsidRPr="002170A2" w:rsidRDefault="00000000" w:rsidP="002170A2">
      <w:pPr>
        <w:pStyle w:val="Ttulo2"/>
        <w:jc w:val="both"/>
      </w:pPr>
      <w:r w:rsidRPr="002170A2">
        <w:t>Hallazgo 1 — Crecimiento sostenido con pico atípico en 2025</w:t>
      </w:r>
    </w:p>
    <w:p w14:paraId="068B8480" w14:textId="77777777" w:rsidR="00E971CE" w:rsidRPr="002170A2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El total nacional de toneladas aprovechadas mostró una tendencia creciente entre 2016 y 2025, con un crecimiento interanual del 15,27% en el último año completo. No obstante, la caída observada en 2026 (datos parciales a abril) sugiere que el pico de 2025 puede estar parcialmente explicado por reportes rezagados o ajustes de certificación, más que por un aumento real en la capacidad operativa del sector. (Ref. Gráfico 1 — Evolución anual)</w:t>
      </w:r>
    </w:p>
    <w:p w14:paraId="3166E470" w14:textId="77777777" w:rsidR="00E971CE" w:rsidRPr="002170A2" w:rsidRDefault="00E971CE" w:rsidP="002170A2">
      <w:pPr>
        <w:spacing w:after="120"/>
        <w:jc w:val="both"/>
        <w:rPr>
          <w:sz w:val="24"/>
          <w:szCs w:val="24"/>
        </w:rPr>
      </w:pPr>
    </w:p>
    <w:p w14:paraId="53567088" w14:textId="77777777" w:rsidR="00E971CE" w:rsidRPr="002170A2" w:rsidRDefault="00000000" w:rsidP="002170A2">
      <w:pPr>
        <w:pStyle w:val="Ttulo2"/>
        <w:jc w:val="both"/>
      </w:pPr>
      <w:r w:rsidRPr="002170A2">
        <w:t>Hallazgo 2 — Concentración crítica en la región Andina</w:t>
      </w:r>
    </w:p>
    <w:p w14:paraId="3627F510" w14:textId="77777777" w:rsidR="00E971CE" w:rsidRPr="002170A2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La región Andina concentra más del 70% del total nacional de toneladas aprovechadas en todos los años analizados, con Bogotá D.C. y Antioquia como los departamentos de mayor volumen. Esta concentración refleja la densidad poblacional y la mayor capacidad instalada de infraestructura de aprovechamiento, pero también evidencia una brecha estructural con regiones como Amazonía y Orinoquía, donde el aprovechamiento es marginal. (Ref. Gráfico 3 — Mapa de calor por región)</w:t>
      </w:r>
    </w:p>
    <w:p w14:paraId="35F1309E" w14:textId="77777777" w:rsidR="00E971CE" w:rsidRPr="002170A2" w:rsidRDefault="00E971CE" w:rsidP="002170A2">
      <w:pPr>
        <w:spacing w:after="120"/>
        <w:jc w:val="both"/>
        <w:rPr>
          <w:sz w:val="24"/>
          <w:szCs w:val="24"/>
        </w:rPr>
      </w:pPr>
    </w:p>
    <w:p w14:paraId="00E2F405" w14:textId="77777777" w:rsidR="00E971CE" w:rsidRPr="002170A2" w:rsidRDefault="00000000" w:rsidP="002170A2">
      <w:pPr>
        <w:pStyle w:val="Ttulo2"/>
        <w:jc w:val="both"/>
      </w:pPr>
      <w:r w:rsidRPr="002170A2">
        <w:t>Hallazgo 3 — Alta tasa de registros sin clasificar por origen</w:t>
      </w:r>
    </w:p>
    <w:p w14:paraId="1DB81665" w14:textId="77777777" w:rsidR="00E971CE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El 41,99% de los registros no cuenta con clasificación de origen (Urbano/Rural). Esta limitación de calidad del dato impide evaluar con precisión el impacto diferencial del aprovechamiento entre zonas urbanas y rurales, y reduce la utilidad del indicador de porcentaje de origen urbano como métrica de gestión.</w:t>
      </w:r>
    </w:p>
    <w:p w14:paraId="7E4CB325" w14:textId="77777777" w:rsidR="002170A2" w:rsidRDefault="002170A2" w:rsidP="002170A2">
      <w:pPr>
        <w:spacing w:after="120"/>
        <w:jc w:val="both"/>
        <w:rPr>
          <w:sz w:val="24"/>
          <w:szCs w:val="24"/>
        </w:rPr>
      </w:pPr>
    </w:p>
    <w:p w14:paraId="0A64C45D" w14:textId="77777777" w:rsidR="002170A2" w:rsidRPr="002170A2" w:rsidRDefault="002170A2" w:rsidP="002170A2">
      <w:pPr>
        <w:spacing w:after="120"/>
        <w:jc w:val="both"/>
        <w:rPr>
          <w:sz w:val="24"/>
          <w:szCs w:val="24"/>
        </w:rPr>
      </w:pPr>
    </w:p>
    <w:p w14:paraId="3A3FEB79" w14:textId="77777777" w:rsidR="00E971CE" w:rsidRPr="002170A2" w:rsidRDefault="00E971CE" w:rsidP="002170A2">
      <w:pPr>
        <w:spacing w:after="120"/>
        <w:jc w:val="both"/>
        <w:rPr>
          <w:sz w:val="24"/>
          <w:szCs w:val="24"/>
        </w:rPr>
      </w:pPr>
    </w:p>
    <w:p w14:paraId="41394A93" w14:textId="77777777" w:rsidR="00E971CE" w:rsidRPr="002170A2" w:rsidRDefault="00000000" w:rsidP="002170A2">
      <w:pPr>
        <w:pStyle w:val="Ttulo2"/>
        <w:jc w:val="both"/>
      </w:pPr>
      <w:r w:rsidRPr="002170A2">
        <w:lastRenderedPageBreak/>
        <w:t>Hallazgo 4 — Pico de reversiones en 2021 (hallazgo contraintuitivo)</w:t>
      </w:r>
    </w:p>
    <w:p w14:paraId="4DEEC1D1" w14:textId="77777777" w:rsidR="00E971CE" w:rsidRPr="002170A2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 xml:space="preserve">El año 2021 registró el mayor volumen de reversiones con 9.217 registros revertidos por la SSPD, superando ampliamente a los años adyacentes. De manera contraintuitiva, este pico no coincide con el año de mayor volumen de aprovechamiento reportado, sino con el período de reactivación </w:t>
      </w:r>
      <w:proofErr w:type="spellStart"/>
      <w:proofErr w:type="gramStart"/>
      <w:r w:rsidRPr="002170A2">
        <w:rPr>
          <w:sz w:val="24"/>
          <w:szCs w:val="24"/>
        </w:rPr>
        <w:t>post-pandemia</w:t>
      </w:r>
      <w:proofErr w:type="spellEnd"/>
      <w:proofErr w:type="gramEnd"/>
      <w:r w:rsidRPr="002170A2">
        <w:rPr>
          <w:sz w:val="24"/>
          <w:szCs w:val="24"/>
        </w:rPr>
        <w:t>.</w:t>
      </w:r>
    </w:p>
    <w:p w14:paraId="5B8E55A7" w14:textId="77777777" w:rsidR="00E971CE" w:rsidRPr="002170A2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Hipótesis explicativa: Durante 2020 muchas empresas presentaron reportes con inconsistencias debido a la operación irregular causada por la pandemia. La SSPD procesó y auditó estos reportes rezagados durante 2021, generando un volumen inusual de reversiones acumuladas. Esto implica que CEMPRE debe reforzar el acompañamiento a sus afiliados en períodos de contingencia operativa para reducir el riesgo de reversión masiva posterior. (Ref. Análisis de reversiones — Parte 2.4)</w:t>
      </w:r>
    </w:p>
    <w:p w14:paraId="7E78C2A1" w14:textId="77777777" w:rsidR="00E971CE" w:rsidRPr="002170A2" w:rsidRDefault="00E971CE" w:rsidP="002170A2">
      <w:pPr>
        <w:spacing w:after="120"/>
        <w:jc w:val="both"/>
        <w:rPr>
          <w:sz w:val="24"/>
          <w:szCs w:val="24"/>
        </w:rPr>
      </w:pPr>
    </w:p>
    <w:p w14:paraId="79CF87F5" w14:textId="77777777" w:rsidR="00E971CE" w:rsidRPr="002170A2" w:rsidRDefault="00000000" w:rsidP="002170A2">
      <w:pPr>
        <w:pStyle w:val="Ttulo2"/>
        <w:jc w:val="both"/>
      </w:pPr>
      <w:r w:rsidRPr="002170A2">
        <w:t>Hallazgo 5 — Metas REP/PUSU con exigencia creciente para Empresa 1</w:t>
      </w:r>
    </w:p>
    <w:p w14:paraId="299FAA61" w14:textId="77777777" w:rsidR="00E971CE" w:rsidRPr="002170A2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 xml:space="preserve">La proyección de metas para Empresa 1 según la Resolución 803/2024 muestra que la categoría </w:t>
      </w:r>
      <w:proofErr w:type="spellStart"/>
      <w:r w:rsidRPr="002170A2">
        <w:rPr>
          <w:sz w:val="24"/>
          <w:szCs w:val="24"/>
        </w:rPr>
        <w:t>Multimaterial</w:t>
      </w:r>
      <w:proofErr w:type="spellEnd"/>
      <w:r w:rsidRPr="002170A2">
        <w:rPr>
          <w:sz w:val="24"/>
          <w:szCs w:val="24"/>
        </w:rPr>
        <w:t xml:space="preserve"> es la de mayor exigencia absoluta, alcanzando 8,15 millones de toneladas a cumplir en 2030. En términos relativos, PET y Botellas para líquidos presentan el crecimiento más acelerado del porcentaje de meta, pasando del 25% al 50% entre 2025 y 2030. (Ref. Gráfico — Metas REP/PUSU 2025-2030)</w:t>
      </w:r>
    </w:p>
    <w:p w14:paraId="6D582620" w14:textId="77777777" w:rsidR="00E971CE" w:rsidRPr="002170A2" w:rsidRDefault="00E971CE" w:rsidP="002170A2">
      <w:pPr>
        <w:spacing w:after="120"/>
        <w:jc w:val="both"/>
        <w:rPr>
          <w:sz w:val="24"/>
          <w:szCs w:val="24"/>
        </w:rPr>
      </w:pPr>
    </w:p>
    <w:p w14:paraId="69BB8020" w14:textId="77777777" w:rsidR="00E971CE" w:rsidRPr="002170A2" w:rsidRDefault="00000000" w:rsidP="002170A2">
      <w:pPr>
        <w:pStyle w:val="Ttulo1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3. Proyección nacional</w:t>
      </w:r>
    </w:p>
    <w:p w14:paraId="592F380C" w14:textId="77777777" w:rsidR="00E971CE" w:rsidRPr="002170A2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Se proyectaron las toneladas aprovechadas a nivel nacional para los próximos tres años usando dos métodos:</w:t>
      </w:r>
    </w:p>
    <w:p w14:paraId="0385F7D5" w14:textId="77777777" w:rsidR="00E971CE" w:rsidRPr="002170A2" w:rsidRDefault="00000000" w:rsidP="002170A2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Regresión lineal: proyecta una tendencia de crecimiento moderado y constante basada en la serie histórica completa.</w:t>
      </w:r>
    </w:p>
    <w:p w14:paraId="45816731" w14:textId="77777777" w:rsidR="00E971CE" w:rsidRPr="002170A2" w:rsidRDefault="00000000" w:rsidP="002170A2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Suavización exponencial (Holt): pondera más los años recientes, resultando en una proyección más conservadora dado el comportamiento irregular de 2025-2026.</w:t>
      </w:r>
    </w:p>
    <w:p w14:paraId="1060A137" w14:textId="77777777" w:rsidR="00E971CE" w:rsidRPr="002170A2" w:rsidRDefault="00000000" w:rsidP="002170A2">
      <w:pPr>
        <w:spacing w:after="12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Supuestos: ambos métodos asumen continuidad en las condiciones regulatorias actuales, sin cambios normativos disruptivos y sin eventos de contingencia como los observados en 2020. El rango de incertidumbre se amplía significativamente a partir del tercer año proyectado.</w:t>
      </w:r>
    </w:p>
    <w:p w14:paraId="6615695C" w14:textId="77777777" w:rsidR="00E971CE" w:rsidRPr="002170A2" w:rsidRDefault="00E971CE" w:rsidP="002170A2">
      <w:pPr>
        <w:spacing w:after="120"/>
        <w:jc w:val="both"/>
        <w:rPr>
          <w:sz w:val="24"/>
          <w:szCs w:val="24"/>
        </w:rPr>
      </w:pPr>
    </w:p>
    <w:p w14:paraId="5E77D8F8" w14:textId="77777777" w:rsidR="00E971CE" w:rsidRPr="002170A2" w:rsidRDefault="00000000" w:rsidP="002170A2">
      <w:pPr>
        <w:pStyle w:val="Ttulo1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4. Recomendaciones</w:t>
      </w:r>
    </w:p>
    <w:p w14:paraId="36CB872C" w14:textId="77777777" w:rsidR="00E971CE" w:rsidRPr="002170A2" w:rsidRDefault="00000000" w:rsidP="002170A2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Implementar un programa de acompañamiento técnico a empresas afiliadas con alta tasa de reversión, priorizando las identificadas en el top 10 del análisis de auditoría.</w:t>
      </w:r>
    </w:p>
    <w:p w14:paraId="390D7E19" w14:textId="77777777" w:rsidR="00E971CE" w:rsidRPr="002170A2" w:rsidRDefault="00000000" w:rsidP="002170A2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Gestionar ante la SSPD la obligatoriedad de clasificación del origen de residuos (Urbano/Rural) para reducir el 41,99% de registros sin clasificar, mejorando la calidad del dato sectorial.</w:t>
      </w:r>
    </w:p>
    <w:p w14:paraId="5E1E693B" w14:textId="7F925BAC" w:rsidR="00E971CE" w:rsidRPr="002170A2" w:rsidRDefault="00000000" w:rsidP="002170A2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2170A2">
        <w:rPr>
          <w:sz w:val="24"/>
          <w:szCs w:val="24"/>
        </w:rPr>
        <w:t>Desarrollar una hoja de ruta operativa para Empresa 1 enfocada en las categorías PET y Botellas para líquidos, dado su acelerado crecimiento en metas relativas bajo la Resolución 803/2024.</w:t>
      </w:r>
    </w:p>
    <w:sectPr w:rsidR="00E971CE" w:rsidRPr="002170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16AB1"/>
    <w:multiLevelType w:val="hybridMultilevel"/>
    <w:tmpl w:val="B448CD7C"/>
    <w:lvl w:ilvl="0" w:tplc="B2422A1A">
      <w:start w:val="1"/>
      <w:numFmt w:val="bullet"/>
      <w:lvlText w:val="•"/>
      <w:lvlJc w:val="left"/>
      <w:pPr>
        <w:ind w:left="720" w:hanging="360"/>
      </w:pPr>
    </w:lvl>
    <w:lvl w:ilvl="1" w:tplc="A1CEC610">
      <w:numFmt w:val="decimal"/>
      <w:lvlText w:val=""/>
      <w:lvlJc w:val="left"/>
    </w:lvl>
    <w:lvl w:ilvl="2" w:tplc="D06C59E8">
      <w:numFmt w:val="decimal"/>
      <w:lvlText w:val=""/>
      <w:lvlJc w:val="left"/>
    </w:lvl>
    <w:lvl w:ilvl="3" w:tplc="752EE0D6">
      <w:numFmt w:val="decimal"/>
      <w:lvlText w:val=""/>
      <w:lvlJc w:val="left"/>
    </w:lvl>
    <w:lvl w:ilvl="4" w:tplc="29DA1E1A">
      <w:numFmt w:val="decimal"/>
      <w:lvlText w:val=""/>
      <w:lvlJc w:val="left"/>
    </w:lvl>
    <w:lvl w:ilvl="5" w:tplc="55EC9B74">
      <w:numFmt w:val="decimal"/>
      <w:lvlText w:val=""/>
      <w:lvlJc w:val="left"/>
    </w:lvl>
    <w:lvl w:ilvl="6" w:tplc="29F62024">
      <w:numFmt w:val="decimal"/>
      <w:lvlText w:val=""/>
      <w:lvlJc w:val="left"/>
    </w:lvl>
    <w:lvl w:ilvl="7" w:tplc="55AC36C6">
      <w:numFmt w:val="decimal"/>
      <w:lvlText w:val=""/>
      <w:lvlJc w:val="left"/>
    </w:lvl>
    <w:lvl w:ilvl="8" w:tplc="D6D2C848">
      <w:numFmt w:val="decimal"/>
      <w:lvlText w:val=""/>
      <w:lvlJc w:val="left"/>
    </w:lvl>
  </w:abstractNum>
  <w:abstractNum w:abstractNumId="1" w15:restartNumberingAfterBreak="0">
    <w:nsid w:val="7BFD7082"/>
    <w:multiLevelType w:val="hybridMultilevel"/>
    <w:tmpl w:val="7B62EE68"/>
    <w:lvl w:ilvl="0" w:tplc="A75876E2">
      <w:start w:val="1"/>
      <w:numFmt w:val="bullet"/>
      <w:lvlText w:val="●"/>
      <w:lvlJc w:val="left"/>
      <w:pPr>
        <w:ind w:left="720" w:hanging="360"/>
      </w:pPr>
    </w:lvl>
    <w:lvl w:ilvl="1" w:tplc="313C2918">
      <w:start w:val="1"/>
      <w:numFmt w:val="bullet"/>
      <w:lvlText w:val="○"/>
      <w:lvlJc w:val="left"/>
      <w:pPr>
        <w:ind w:left="1440" w:hanging="360"/>
      </w:pPr>
    </w:lvl>
    <w:lvl w:ilvl="2" w:tplc="DA6E6A30">
      <w:start w:val="1"/>
      <w:numFmt w:val="bullet"/>
      <w:lvlText w:val="■"/>
      <w:lvlJc w:val="left"/>
      <w:pPr>
        <w:ind w:left="2160" w:hanging="360"/>
      </w:pPr>
    </w:lvl>
    <w:lvl w:ilvl="3" w:tplc="17B4BF32">
      <w:start w:val="1"/>
      <w:numFmt w:val="bullet"/>
      <w:lvlText w:val="●"/>
      <w:lvlJc w:val="left"/>
      <w:pPr>
        <w:ind w:left="2880" w:hanging="360"/>
      </w:pPr>
    </w:lvl>
    <w:lvl w:ilvl="4" w:tplc="6596812A">
      <w:start w:val="1"/>
      <w:numFmt w:val="bullet"/>
      <w:lvlText w:val="○"/>
      <w:lvlJc w:val="left"/>
      <w:pPr>
        <w:ind w:left="3600" w:hanging="360"/>
      </w:pPr>
    </w:lvl>
    <w:lvl w:ilvl="5" w:tplc="AEE044C8">
      <w:start w:val="1"/>
      <w:numFmt w:val="bullet"/>
      <w:lvlText w:val="■"/>
      <w:lvlJc w:val="left"/>
      <w:pPr>
        <w:ind w:left="4320" w:hanging="360"/>
      </w:pPr>
    </w:lvl>
    <w:lvl w:ilvl="6" w:tplc="27E2675E">
      <w:start w:val="1"/>
      <w:numFmt w:val="bullet"/>
      <w:lvlText w:val="●"/>
      <w:lvlJc w:val="left"/>
      <w:pPr>
        <w:ind w:left="5040" w:hanging="360"/>
      </w:pPr>
    </w:lvl>
    <w:lvl w:ilvl="7" w:tplc="F8AA21F4">
      <w:start w:val="1"/>
      <w:numFmt w:val="bullet"/>
      <w:lvlText w:val="●"/>
      <w:lvlJc w:val="left"/>
      <w:pPr>
        <w:ind w:left="5760" w:hanging="360"/>
      </w:pPr>
    </w:lvl>
    <w:lvl w:ilvl="8" w:tplc="DCDA19AC">
      <w:start w:val="1"/>
      <w:numFmt w:val="bullet"/>
      <w:lvlText w:val="●"/>
      <w:lvlJc w:val="left"/>
      <w:pPr>
        <w:ind w:left="6480" w:hanging="360"/>
      </w:pPr>
    </w:lvl>
  </w:abstractNum>
  <w:num w:numId="1" w16cid:durableId="1202745044">
    <w:abstractNumId w:val="1"/>
    <w:lvlOverride w:ilvl="0">
      <w:startOverride w:val="1"/>
    </w:lvlOverride>
  </w:num>
  <w:num w:numId="2" w16cid:durableId="319386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1CE"/>
    <w:rsid w:val="002170A2"/>
    <w:rsid w:val="00933B3E"/>
    <w:rsid w:val="00E82362"/>
    <w:rsid w:val="00E9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E8FB0"/>
  <w15:docId w15:val="{ECD3D1EF-D3DE-492A-9047-84018652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720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Bolivar</cp:lastModifiedBy>
  <cp:revision>2</cp:revision>
  <dcterms:created xsi:type="dcterms:W3CDTF">2026-06-19T04:33:00Z</dcterms:created>
  <dcterms:modified xsi:type="dcterms:W3CDTF">2026-06-19T04:33:00Z</dcterms:modified>
</cp:coreProperties>
</file>