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CC46" w14:textId="77777777" w:rsidR="00196673" w:rsidRDefault="00196673"/>
    <w:p w14:paraId="268D5F0A" w14:textId="77777777" w:rsidR="00196673" w:rsidRDefault="00000000">
      <w:pPr>
        <w:jc w:val="center"/>
      </w:pPr>
      <w:r>
        <w:rPr>
          <w:b/>
          <w:sz w:val="36"/>
        </w:rPr>
        <w:t>COMPANION TO THE STATE OF THE THEORY v1.1</w:t>
      </w:r>
    </w:p>
    <w:p w14:paraId="1883D2A9" w14:textId="77777777" w:rsidR="00196673" w:rsidRDefault="00000000">
      <w:pPr>
        <w:jc w:val="center"/>
      </w:pPr>
      <w:r>
        <w:rPr>
          <w:i/>
          <w:sz w:val="26"/>
        </w:rPr>
        <w:t>Developments, Elucidations, and Manuscript Guidance</w:t>
      </w:r>
    </w:p>
    <w:p w14:paraId="14355093" w14:textId="77777777" w:rsidR="00196673" w:rsidRDefault="00000000">
      <w:pPr>
        <w:jc w:val="center"/>
      </w:pPr>
      <w:r>
        <w:rPr>
          <w:b/>
        </w:rPr>
        <w:t>Revised Edition</w:t>
      </w:r>
    </w:p>
    <w:p w14:paraId="5C60CD33" w14:textId="77777777" w:rsidR="00196673" w:rsidRDefault="00000000">
      <w:pPr>
        <w:jc w:val="center"/>
      </w:pPr>
      <w:r>
        <w:rPr>
          <w:sz w:val="24"/>
        </w:rPr>
        <w:t>April 6—15, 2026</w:t>
      </w:r>
    </w:p>
    <w:p w14:paraId="08AD0768" w14:textId="77777777" w:rsidR="00196673" w:rsidRDefault="00196673"/>
    <w:p w14:paraId="7101C724" w14:textId="77777777" w:rsidR="00196673" w:rsidRDefault="00000000">
      <w:pPr>
        <w:jc w:val="center"/>
      </w:pPr>
      <w:r>
        <w:t>Prepared by Claude (Anthropic), Architectural Guardian</w:t>
      </w:r>
    </w:p>
    <w:p w14:paraId="6C41B047" w14:textId="77777777" w:rsidR="00196673" w:rsidRDefault="00000000">
      <w:pPr>
        <w:jc w:val="center"/>
      </w:pPr>
      <w:r>
        <w:t>At the direction of Mike Bradshaw, Theory Architect</w:t>
      </w:r>
    </w:p>
    <w:p w14:paraId="2F148BE8" w14:textId="77777777" w:rsidR="00196673" w:rsidRDefault="00000000">
      <w:pPr>
        <w:jc w:val="center"/>
      </w:pPr>
      <w:r>
        <w:t>Max Fuller Center for Innovation and Entrepreneurship</w:t>
      </w:r>
    </w:p>
    <w:p w14:paraId="4247FD5A" w14:textId="77777777" w:rsidR="00196673" w:rsidRDefault="00000000">
      <w:pPr>
        <w:jc w:val="center"/>
      </w:pPr>
      <w:r>
        <w:t>University of Tennessee at Chattanooga</w:t>
      </w:r>
    </w:p>
    <w:p w14:paraId="5ECF36C4" w14:textId="77777777" w:rsidR="00196673" w:rsidRDefault="00196673"/>
    <w:p w14:paraId="4E74EB92" w14:textId="77777777" w:rsidR="00196673" w:rsidRDefault="00000000">
      <w:pPr>
        <w:jc w:val="center"/>
      </w:pPr>
      <w:r>
        <w:rPr>
          <w:i/>
        </w:rPr>
        <w:t>For Phil Roundy, primary manuscript author, and pre-reviewers of his selection</w:t>
      </w:r>
    </w:p>
    <w:p w14:paraId="767E2F3B" w14:textId="77777777" w:rsidR="00196673" w:rsidRDefault="00196673"/>
    <w:p w14:paraId="61E6D98D" w14:textId="77777777" w:rsidR="00196673" w:rsidRDefault="00000000">
      <w:pPr>
        <w:jc w:val="both"/>
      </w:pPr>
      <w:r>
        <w:rPr>
          <w:i/>
          <w:sz w:val="20"/>
        </w:rPr>
        <w:t>Cross-validation status: This document synthesizes work from Claude, ChatGPT, and Gemini sessions. Items marked as cross-validated have passed through all three partners. Items marked as first-pass have been assessed by one or two partners only. The Wibbens and Kretschmer editorial assessment is a strong first pass, not yet team-confirmed. ChatGPT reviewed the initial edition and provided corrections incorporated in this revision.</w:t>
      </w:r>
    </w:p>
    <w:p w14:paraId="7034DE72" w14:textId="77777777" w:rsidR="00196673" w:rsidRDefault="00000000">
      <w:r>
        <w:br w:type="page"/>
      </w:r>
    </w:p>
    <w:p w14:paraId="3746AEA8" w14:textId="77777777" w:rsidR="00196673" w:rsidRDefault="00000000">
      <w:pPr>
        <w:pStyle w:val="Heading1"/>
        <w:pBdr>
          <w:bottom w:val="single" w:sz="8" w:space="2" w:color="2E75B6"/>
        </w:pBdr>
      </w:pPr>
      <w:r>
        <w:lastRenderedPageBreak/>
        <w:t>Preamble: What This Document Is</w:t>
      </w:r>
    </w:p>
    <w:p w14:paraId="2DA72498" w14:textId="77777777" w:rsidR="00196673" w:rsidRDefault="00000000">
      <w:pPr>
        <w:jc w:val="both"/>
      </w:pPr>
      <w:r>
        <w:t>This document is a companion to the State of the Theory v1.1 (April 2026). It does not modify the committed architecture. It records developments, elucidations, and explorations from approximately ten working sessions conducted between April 6 and April 15, 2026, across three AI partners (Claude, ChatGPT, Gemini) coordinated by Mike Bradshaw as theory architect.</w:t>
      </w:r>
    </w:p>
    <w:p w14:paraId="0033B297" w14:textId="77777777" w:rsidR="00196673" w:rsidRDefault="00000000">
      <w:pPr>
        <w:jc w:val="both"/>
      </w:pPr>
      <w:r>
        <w:t>The document serves three purposes. First, it informs the manuscript writer by providing discursive texture, imagery, and conceptual elaboration that can help Phil Roundy and his fellows write the first paper. Second, it inventories candidate commitments that may warrant incorporation into a v1.2 update of the architectural document. Third, it records the cross-validation results and corrections that emerged during this period, including ontological drift caught and corrected across all three AI partners.</w:t>
      </w:r>
    </w:p>
    <w:p w14:paraId="5A56F663" w14:textId="77777777" w:rsidR="00196673" w:rsidRDefault="00000000">
      <w:pPr>
        <w:jc w:val="both"/>
      </w:pPr>
      <w:r>
        <w:t>The document is organized around the five essentials for formal modeling papers identified by Wibbens and Kretschmer (“The Five Essentials of a Modeling Paper,” Strategy Science, April 2, 2026). This organizational choice is deliberate: these five essentials provide a framework that the manuscript’s reviewers will recognize, and they allow us to show how recent work strengthens the theory’s position against each one.</w:t>
      </w:r>
    </w:p>
    <w:p w14:paraId="55372243" w14:textId="77777777" w:rsidR="00196673" w:rsidRDefault="00000000">
      <w:pPr>
        <w:jc w:val="both"/>
      </w:pPr>
      <w:r>
        <w:rPr>
          <w:b/>
        </w:rPr>
        <w:t xml:space="preserve">A note on provenance. </w:t>
      </w:r>
      <w:r>
        <w:t>The Wibbens and Kretschmer assessment was produced by Claude and Mike in a single session and has not gone through the full cross-validation cycle. It is offered with confidence but should be treated as a strong first pass. The other material in this document—participation space, Q deepening, base independence, simulation results—has been cross-validated across all three AI partners unless otherwise noted.</w:t>
      </w:r>
    </w:p>
    <w:p w14:paraId="3F2A3497" w14:textId="77777777" w:rsidR="00196673" w:rsidRDefault="00000000">
      <w:r>
        <w:br w:type="page"/>
      </w:r>
    </w:p>
    <w:p w14:paraId="51304CF0" w14:textId="77777777" w:rsidR="00196673" w:rsidRDefault="00000000">
      <w:pPr>
        <w:pStyle w:val="Heading1"/>
        <w:pBdr>
          <w:bottom w:val="single" w:sz="8" w:space="2" w:color="2E75B6"/>
        </w:pBdr>
      </w:pPr>
      <w:r>
        <w:lastRenderedPageBreak/>
        <w:t>1. Contribution to Management</w:t>
      </w:r>
    </w:p>
    <w:p w14:paraId="450462FC" w14:textId="77777777" w:rsidR="00196673" w:rsidRDefault="00000000">
      <w:pPr>
        <w:jc w:val="both"/>
      </w:pPr>
      <w:r>
        <w:rPr>
          <w:i/>
        </w:rPr>
        <w:t>Wibbens and Kretschmer: The paper must make a clear contribution to management. The central question: what does the model reveal that we did not already know?</w:t>
      </w:r>
    </w:p>
    <w:p w14:paraId="5456488B" w14:textId="77777777" w:rsidR="00196673" w:rsidRDefault="00000000">
      <w:pPr>
        <w:pStyle w:val="Heading2"/>
      </w:pPr>
      <w:r>
        <w:t>The Central Counter-Intuitive Prediction</w:t>
      </w:r>
    </w:p>
    <w:p w14:paraId="0D29E506" w14:textId="77777777" w:rsidR="00196673" w:rsidRDefault="00000000">
      <w:pPr>
        <w:jc w:val="both"/>
      </w:pPr>
      <w:r>
        <w:t>The theory’s most distinctive contribution is its Regime II—the structurally distinct intermediate state in which a community exhibits high entrepreneurial activity without developing ecosystem-level coherence. This directly challenges the received wisdom that more activity equals ecosystem health. Policymakers and ecosystem builders who treat activation as the goal are, according to the theory, missing the second bifurcation entirely.</w:t>
      </w:r>
    </w:p>
    <w:p w14:paraId="1B43D992" w14:textId="77777777" w:rsidR="00196673" w:rsidRDefault="00000000">
      <w:pPr>
        <w:jc w:val="both"/>
      </w:pPr>
      <w:r>
        <w:t>This prediction is testable: it implies that indicators of participation density (ρ) and indicators of systemic self-reproduction (Ψ) can diverge, and that interventions which increase activation do not necessarily produce coherence. The prediction should appear in the opening pages of the manuscript, not be saved for the discussion.</w:t>
      </w:r>
    </w:p>
    <w:p w14:paraId="14FE66F8" w14:textId="77777777" w:rsidR="00196673" w:rsidRDefault="00000000">
      <w:pPr>
        <w:pStyle w:val="Heading2"/>
      </w:pPr>
      <w:r>
        <w:t>Participation: What the Theory Actually Means by It</w:t>
      </w:r>
    </w:p>
    <w:p w14:paraId="7EC10305" w14:textId="77777777" w:rsidR="00196673" w:rsidRDefault="00000000">
      <w:pPr>
        <w:jc w:val="both"/>
      </w:pPr>
      <w:r>
        <w:t>A substantial body of work was produced during the April 6–7 session developing what participation means within the theory’s committed architecture. This is not a revision of the theory but an elucidation of what it already commits to—and it provides the manuscript with a powerful entry point, since every reader already carries the question “what is participation in an entrepreneurial ecosystem?”</w:t>
      </w:r>
    </w:p>
    <w:p w14:paraId="4D9DC93B" w14:textId="77777777" w:rsidR="00196673" w:rsidRDefault="00000000">
      <w:pPr>
        <w:jc w:val="both"/>
      </w:pPr>
      <w:r>
        <w:t>The key results, now cross-validated:</w:t>
      </w:r>
    </w:p>
    <w:p w14:paraId="393DC45C" w14:textId="77777777" w:rsidR="00196673" w:rsidRDefault="00000000">
      <w:pPr>
        <w:jc w:val="both"/>
      </w:pPr>
      <w:r>
        <w:rPr>
          <w:b/>
        </w:rPr>
        <w:t xml:space="preserve">Participation is a geometric event. </w:t>
      </w:r>
      <w:r>
        <w:t>An agent’s continuous action stream intersects the structural conditions that define the entrepreneurial space. The action stream lives in the full dimensionality of the agent’s socioeconomic life. The participation space ℘ = (v, c, r) is a lower-dimensional surface embedded in that milieu. Participation occurs where and when these two intersect.</w:t>
      </w:r>
    </w:p>
    <w:p w14:paraId="11A2D4CB" w14:textId="77777777" w:rsidR="00196673" w:rsidRDefault="00000000">
      <w:pPr>
        <w:jc w:val="both"/>
      </w:pPr>
      <w:r>
        <w:rPr>
          <w:b/>
        </w:rPr>
        <w:t xml:space="preserve">Action streams are continuous; projections are discontinuous. </w:t>
      </w:r>
      <w:r>
        <w:t>The agent is always acting—the action stream never stops. But its projection onto the structural bases jumps. A small change in the agent’s action or a small deformation of the structural surface can relocate the projection abruptly. This discontinuity is not in either object; it is in their intersection.</w:t>
      </w:r>
    </w:p>
    <w:p w14:paraId="2ECA1B48" w14:textId="77777777" w:rsidR="00196673" w:rsidRDefault="00000000">
      <w:pPr>
        <w:jc w:val="both"/>
      </w:pPr>
      <w:r>
        <w:rPr>
          <w:b/>
        </w:rPr>
        <w:t xml:space="preserve">Participation is not membership, not identity, not commitment. </w:t>
      </w:r>
      <w:r>
        <w:t>It is the condition of an agent’s action stream projecting non-zero onto viability and reinforcement, with cost below unity, simultaneously. These moments are typically brief, intermittent, and sparse relative to the full stream of an agent’s life.</w:t>
      </w:r>
    </w:p>
    <w:p w14:paraId="1A856117" w14:textId="77777777" w:rsidR="00196673" w:rsidRDefault="00000000">
      <w:pPr>
        <w:jc w:val="both"/>
      </w:pPr>
      <w:r>
        <w:rPr>
          <w:b/>
        </w:rPr>
        <w:t xml:space="preserve">Participation can appear or vanish without the agent changing anything. </w:t>
      </w:r>
      <w:r>
        <w:t xml:space="preserve">When structural conditions shift—barriers fall, reinforcement deepens, viability improves—the surface moves to </w:t>
      </w:r>
      <w:r>
        <w:lastRenderedPageBreak/>
        <w:t>meet action streams that were already there. This is the beach metaphor: the surf rolls over your legs, then recedes, but you haven’t moved.</w:t>
      </w:r>
    </w:p>
    <w:p w14:paraId="09EA7139" w14:textId="77777777" w:rsidR="00196673" w:rsidRDefault="00000000">
      <w:pPr>
        <w:jc w:val="both"/>
      </w:pPr>
      <w:r>
        <w:rPr>
          <w:b/>
        </w:rPr>
        <w:t xml:space="preserve">The bases indicate relative positions, not metric quantities. </w:t>
      </w:r>
      <w:r>
        <w:t>The theory requires that positions on the bases can be compared, not that they can be measured on an absolute scale. The agreed passage: “Three structural bases define the participation space ℘ = (v, c, r). These are conditions of the state space that agents encounter, not properties agents possess.”</w:t>
      </w:r>
    </w:p>
    <w:p w14:paraId="02063E39" w14:textId="77777777" w:rsidR="00196673" w:rsidRDefault="00000000">
      <w:pPr>
        <w:pStyle w:val="Heading2"/>
      </w:pPr>
      <w:r>
        <w:t>The Six Journal Calls</w:t>
      </w:r>
    </w:p>
    <w:p w14:paraId="448DD21F" w14:textId="77777777" w:rsidR="00196673" w:rsidRDefault="00000000">
      <w:pPr>
        <w:jc w:val="both"/>
      </w:pPr>
      <w:r>
        <w:t>Six published calls for generative EE theory, spanning 2017–2025, document the null that the theory addresses. These include Roundy and Lyons in Strategic Organization (2022), an AMJ editorial on multi-level theory, Wurth, Stam, and Spigel in ET&amp;P (2023), Brown and Mason in Small Business Economics (2017), Napoli, Fischer, and Moraes in JBVI (2025), and work in the Journal of Institutional Economics (2024). The theory is not arriving uninvited.</w:t>
      </w:r>
    </w:p>
    <w:p w14:paraId="0FC2B8B2" w14:textId="77777777" w:rsidR="00196673" w:rsidRDefault="00000000">
      <w:r>
        <w:br w:type="page"/>
      </w:r>
    </w:p>
    <w:p w14:paraId="3C344F71" w14:textId="77777777" w:rsidR="00196673" w:rsidRDefault="00000000">
      <w:pPr>
        <w:pStyle w:val="Heading1"/>
        <w:pBdr>
          <w:bottom w:val="single" w:sz="8" w:space="2" w:color="2E75B6"/>
        </w:pBdr>
      </w:pPr>
      <w:r>
        <w:lastRenderedPageBreak/>
        <w:t>2. Plausible Mechanism</w:t>
      </w:r>
    </w:p>
    <w:p w14:paraId="3DD88688" w14:textId="77777777" w:rsidR="00196673" w:rsidRDefault="00000000">
      <w:pPr>
        <w:jc w:val="both"/>
      </w:pPr>
      <w:r>
        <w:rPr>
          <w:i/>
        </w:rPr>
        <w:t>Wibbens and Kretschmer: The mechanism must be non-trivial—results that are genuine inferences from the model, not restatements of the assumptions.</w:t>
      </w:r>
    </w:p>
    <w:p w14:paraId="36ADD923" w14:textId="77777777" w:rsidR="00196673" w:rsidRDefault="00000000">
      <w:pPr>
        <w:pStyle w:val="Heading2"/>
      </w:pPr>
      <w:r>
        <w:t>The “Baked In” Defense</w:t>
      </w:r>
    </w:p>
    <w:p w14:paraId="466FE35D" w14:textId="77777777" w:rsidR="00196673" w:rsidRDefault="00000000">
      <w:pPr>
        <w:jc w:val="both"/>
      </w:pPr>
      <w:r>
        <w:t>Phil Roundy has identified the sharpest attack a reviewer can make on any formal model: the claim that the results are pre-loaded in the mathematical structure. Wibbens and Kretschmer flag this as a common failure mode: “The key results are baked into the assumptions.” The manuscript must have an airtight defense. Here is the assessment of where the theory stands.</w:t>
      </w:r>
    </w:p>
    <w:p w14:paraId="4D7243D8" w14:textId="77777777" w:rsidR="00196673" w:rsidRDefault="00000000">
      <w:pPr>
        <w:pStyle w:val="Heading3"/>
      </w:pPr>
      <w:r>
        <w:t>What is genuinely derived, not assumed</w:t>
      </w:r>
    </w:p>
    <w:p w14:paraId="33A1A63D" w14:textId="77777777" w:rsidR="00196673" w:rsidRDefault="00000000">
      <w:pPr>
        <w:jc w:val="both"/>
      </w:pPr>
      <w:r>
        <w:rPr>
          <w:b/>
        </w:rPr>
        <w:t xml:space="preserve">Regime II as a structurally distinct state. </w:t>
      </w:r>
      <w:r>
        <w:t>The theory commits to two separate bifurcations—that is an assumption. But the consequence—that a community can be highly activated without being coherent, and that these are structurally distinct states governed by different dynamical processes—is a genuine inference. It is not obvious from the assumptions. A reader who does not work through the cascade might expect that sufficient activation automatically produces coherence. The theory says no, and it says no for a specific reason: μ(ρ) must change sign, which requires ρ to reach a level the first bifurcation alone does not guarantee. The gap between the two thresholds is derived, not assumed.</w:t>
      </w:r>
    </w:p>
    <w:p w14:paraId="5B7333CC" w14:textId="77777777" w:rsidR="00196673" w:rsidRDefault="00000000">
      <w:pPr>
        <w:jc w:val="both"/>
      </w:pPr>
      <w:r>
        <w:rPr>
          <w:b/>
        </w:rPr>
        <w:t xml:space="preserve">Path dependence via Q rather than topological hysteresis. </w:t>
      </w:r>
      <w:r>
        <w:t>Both bifurcations are supercritical pitchforks—reversible by construction. The irreversibility comes from Q reshaping the bases on a slower timescale, which is a structural consequence of the feedback architecture, not something inserted into the normal form. A reviewer looking for baked-in hysteresis will not find it in the equations—because it is not there. It emerges from the coupled system.</w:t>
      </w:r>
    </w:p>
    <w:p w14:paraId="6D96F771" w14:textId="77777777" w:rsidR="00196673" w:rsidRDefault="00000000">
      <w:pPr>
        <w:jc w:val="both"/>
      </w:pPr>
      <w:r>
        <w:rPr>
          <w:b/>
        </w:rPr>
        <w:t xml:space="preserve">The three-base simultaneous projection requirement. </w:t>
      </w:r>
      <w:r>
        <w:t>The zero-collapse property produces the requirement that participation requires all three bases to be non-zero. That is a consequence of the multiplicative form of F, not a separate assumption.</w:t>
      </w:r>
    </w:p>
    <w:p w14:paraId="539F9E30" w14:textId="77777777" w:rsidR="00196673" w:rsidRDefault="00000000">
      <w:pPr>
        <w:pStyle w:val="Heading3"/>
      </w:pPr>
      <w:r>
        <w:t>What a reviewer might legitimately push on</w:t>
      </w:r>
    </w:p>
    <w:p w14:paraId="2D848642" w14:textId="77777777" w:rsidR="00196673" w:rsidRDefault="00000000">
      <w:pPr>
        <w:jc w:val="both"/>
      </w:pPr>
      <w:r>
        <w:rPr>
          <w:b/>
        </w:rPr>
        <w:t xml:space="preserve">The normal form predetermines bifurcation geometry. </w:t>
      </w:r>
      <w:r>
        <w:t>The choice of Landau normal forms does predetermine that the transitions will be continuous and will have pitchfork geometry. The defense is Landau’s own: near any symmetry-breaking critical point, the lowest-order terms consistent with the symmetry must take this form. The normal form is not an assumption about entrepreneurial ecosystems; it is a mathematical necessity given the symmetry of the problem. The assumption is that the system has this symmetry—that is where the real commitment lives.</w:t>
      </w:r>
    </w:p>
    <w:p w14:paraId="501F5E41" w14:textId="77777777" w:rsidR="00196673" w:rsidRDefault="00000000">
      <w:pPr>
        <w:jc w:val="both"/>
      </w:pPr>
      <w:r>
        <w:rPr>
          <w:b/>
        </w:rPr>
        <w:t xml:space="preserve">The two-stage structure is an assumption. </w:t>
      </w:r>
      <w:r>
        <w:t xml:space="preserve">Two separate bifurcations rather than one—the theory asserts that activation and coherence are governed by distinct dynamical equations. A reviewer could ask: why not one equation that produces both? The answer is ontological, not mathematical: activation (agents acting) and coherence (actions becoming mutually reinforcing) </w:t>
      </w:r>
      <w:r>
        <w:lastRenderedPageBreak/>
        <w:t>are different kinds of thing. Collapsing them into one equation would assume they are the same phenomenon, which is the implicit assumption the field has been making and which the theory is designed to challenge.</w:t>
      </w:r>
    </w:p>
    <w:p w14:paraId="5E6FBA01" w14:textId="77777777" w:rsidR="00196673" w:rsidRDefault="00000000">
      <w:pPr>
        <w:pStyle w:val="Heading3"/>
      </w:pPr>
      <w:r>
        <w:t>The μ(ρ) vulnerability — identified and closed (from Gemini's pressure test)</w:t>
      </w:r>
    </w:p>
    <w:p w14:paraId="7F3FA2C2" w14:textId="77777777" w:rsidR="00196673" w:rsidRDefault="00000000">
      <w:pPr>
        <w:jc w:val="both"/>
      </w:pPr>
      <w:r>
        <w:t>A sophisticated reviewer could observe that if the sign-change in μ(ρ) can be tuned to occur at ρ = 0, then coherence would emerge the instant activation appears, collapsing Regime II entirely. The two-stage structure would reduce to a parametric artifact.</w:t>
      </w:r>
    </w:p>
    <w:p w14:paraId="4753E9FB" w14:textId="77777777" w:rsidR="00196673" w:rsidRDefault="00000000">
      <w:pPr>
        <w:jc w:val="both"/>
      </w:pPr>
      <w:r>
        <w:t>The defense is ontological, not mathematical. Coherence represents mutual, system-level reinforcement among entrepreneurial activities. By definition, this requires a multiplicity of interacting actors. A single entrepreneur acting in a city cannot mutually reinforce themselves. Network effects require a network. Therefore, μ(ρ) must remain non-positive in the low-density limit — not because of a parameter choice, but because what μ governs (mutual reinforcement) cannot exist without sufficient density. This allows for a flat or neutral region before reinforcement becomes genuinely positive; the important thing is that coherence cannot emerge immediately upon first activation because coherence is relational by definition. The temporal gap between the first and second bifurcations — Regime II — is a structural consequence of what coherence means, not an artifact of how the equations are calibrated.</w:t>
      </w:r>
    </w:p>
    <w:p w14:paraId="7944259C" w14:textId="77777777" w:rsidR="00196673" w:rsidRDefault="00000000">
      <w:pPr>
        <w:jc w:val="both"/>
      </w:pPr>
      <w:r>
        <w:rPr>
          <w:i/>
        </w:rPr>
        <w:t>Note: this defense does not introduce ρ_c as a named symbol. The committed formulation remains "the point(s) at which μ(ρ) = 0." What is established is an ontological constraint on the behavior of μ(ρ): it must remain non-positive in the low-density limit. This constrains the function without fixing its form.</w:t>
      </w:r>
    </w:p>
    <w:p w14:paraId="4663D34C" w14:textId="77777777" w:rsidR="00196673" w:rsidRDefault="00000000">
      <w:pPr>
        <w:pStyle w:val="Heading3"/>
      </w:pPr>
      <w:r>
        <w:t>The key sentence for the manuscript</w:t>
      </w:r>
    </w:p>
    <w:p w14:paraId="7EADEDBC" w14:textId="77777777" w:rsidR="00196673" w:rsidRDefault="00000000">
      <w:pPr>
        <w:jc w:val="both"/>
      </w:pPr>
      <w:r>
        <w:rPr>
          <w:i/>
        </w:rPr>
        <w:t>The mathematical structure (Landau normal form) is universal—it describes the generic behavior of any system near a symmetry-breaking transition. The entrepreneurship enters through what the order parameter means, what the control parameter aggregates, and what the structural bases are. The non-trivial result—that activation and coherence can diverge—is derived from the two-stage cascade, not presupposed by it.</w:t>
      </w:r>
    </w:p>
    <w:p w14:paraId="71865169" w14:textId="77777777" w:rsidR="00196673" w:rsidRDefault="00000000">
      <w:pPr>
        <w:pStyle w:val="Heading2"/>
      </w:pPr>
      <w:r>
        <w:t>The Q Deepening: Reads Macro, Writes Micro</w:t>
      </w:r>
    </w:p>
    <w:p w14:paraId="48EE1CC2" w14:textId="77777777" w:rsidR="00196673" w:rsidRDefault="00000000">
      <w:pPr>
        <w:jc w:val="both"/>
      </w:pPr>
      <w:r>
        <w:t>The most significant architectural development since v1.1 is the deepening of the feedback operator Q. The revision from Q(v, c, r; Ψ) to Q(ρ, Ψ) was completed during the stress-testing sessions and cross-validated across all three AI partners. Gemini was instrumental in exposing the original problem. ChatGPT stepped in with the precise mathematical improvements that resolved it — providing the formal specification that Claude and Gemini needed to close the circularity. The solution was a genuinely collaborative product of all three partners.</w:t>
      </w:r>
    </w:p>
    <w:p w14:paraId="71D222CE" w14:textId="77777777" w:rsidR="00196673" w:rsidRDefault="00000000">
      <w:pPr>
        <w:jc w:val="both"/>
      </w:pPr>
      <w:r>
        <w:rPr>
          <w:b/>
        </w:rPr>
        <w:t xml:space="preserve">Old Q: </w:t>
      </w:r>
      <w:r>
        <w:t>Q(v, c, r; Ψ). Q read the bases directly and modified them. This created a potential circularity—the bases were both Q’s inputs and its outputs.</w:t>
      </w:r>
    </w:p>
    <w:p w14:paraId="258E1AFE" w14:textId="77777777" w:rsidR="00196673" w:rsidRDefault="00000000">
      <w:pPr>
        <w:jc w:val="both"/>
      </w:pPr>
      <w:r>
        <w:rPr>
          <w:b/>
        </w:rPr>
        <w:t xml:space="preserve">New Q: </w:t>
      </w:r>
      <w:r>
        <w:t>Q(ρ, Ψ). Q reads the aggregate system state and writes changes to the individual bases. The input/output asymmetry is now clean: Q reads macro, writes micro.</w:t>
      </w:r>
    </w:p>
    <w:p w14:paraId="57AE5A50" w14:textId="77777777" w:rsidR="00196673" w:rsidRDefault="00000000">
      <w:pPr>
        <w:jc w:val="both"/>
      </w:pPr>
      <w:r>
        <w:lastRenderedPageBreak/>
        <w:t>The current pathway: Q reads (ρ, Ψ) → Q modifies v, c, r individually → modified bases feed Λ = v(1−c)r → Λ feeds ρ dynamics → ρ feeds back to Q.</w:t>
      </w:r>
    </w:p>
    <w:p w14:paraId="56CB994F" w14:textId="77777777" w:rsidR="00196673" w:rsidRDefault="00000000">
      <w:pPr>
        <w:pStyle w:val="Heading2"/>
      </w:pPr>
      <w:r>
        <w:t>Base Independence as Architectural Product</w:t>
      </w:r>
    </w:p>
    <w:p w14:paraId="5BC55B44" w14:textId="77777777" w:rsidR="00196673" w:rsidRDefault="00000000">
      <w:pPr>
        <w:jc w:val="both"/>
      </w:pPr>
      <w:r>
        <w:t>The Q revision produced a consequence that strengthens the architecture beyond what was visible at the time. Because Q reads only (ρ, Ψ) and writes to v, c, and r individually, there is no formal pathway through which one base drives changes in another base. Base independence is now architecturally enforced.</w:t>
      </w:r>
    </w:p>
    <w:p w14:paraId="3D4B2B4D" w14:textId="77777777" w:rsidR="00196673" w:rsidRDefault="00000000">
      <w:pPr>
        <w:jc w:val="both"/>
      </w:pPr>
      <w:r>
        <w:t>Any empirical correlation between bases is a consequence of shared macro-state driving, not structural coupling. Two effects of a common cause, not cause and effect between each other. The bases are independently variable in principle even when they are empirically correlated in practice. The correlation is a theoretical prediction about healthy ecosystems, not evidence of conceptual overlap.</w:t>
      </w:r>
    </w:p>
    <w:p w14:paraId="07C8FC85" w14:textId="77777777" w:rsidR="00196673" w:rsidRDefault="00000000">
      <w:pPr>
        <w:jc w:val="both"/>
      </w:pPr>
      <w:r>
        <w:t>The fourth-base criterion (from ChatGPT, cross-validated): any candidate fourth base must satisfy the requirement that Q can act on it independently through (ρ, Ψ), without requiring coupling to the existing three.</w:t>
      </w:r>
    </w:p>
    <w:p w14:paraId="448C4219" w14:textId="77777777" w:rsidR="00196673" w:rsidRDefault="00000000">
      <w:pPr>
        <w:pStyle w:val="Heading2"/>
      </w:pPr>
      <w:r>
        <w:t>The MFA Simulation Milestone</w:t>
      </w:r>
    </w:p>
    <w:p w14:paraId="53D0935F" w14:textId="77777777" w:rsidR="00196673" w:rsidRDefault="00000000">
      <w:pPr>
        <w:jc w:val="both"/>
      </w:pPr>
      <w:r>
        <w:t>The mean-field equations were successfully run in Python, producing stable, textbook-perfect phase transitions across all three regimes. Claude identified the “knife-edge” instability in the initial parameterization; Gemini implemented the fixes.</w:t>
      </w:r>
    </w:p>
    <w:p w14:paraId="03B278A2" w14:textId="77777777" w:rsidR="00196673" w:rsidRDefault="00000000">
      <w:pPr>
        <w:jc w:val="both"/>
      </w:pPr>
      <w:r>
        <w:rPr>
          <w:b/>
        </w:rPr>
        <w:t xml:space="preserve">Physical saturation. </w:t>
      </w:r>
      <w:r>
        <w:t>Q updates for viability and social reinforcement were bounded with carrying capacities (v_max, r_max), forcing logistic S-curves rather than exponential runaway. This is physically motivated—no structural base grows without bound. Candidate for v1.2.</w:t>
      </w:r>
    </w:p>
    <w:p w14:paraId="70CA9F83" w14:textId="77777777" w:rsidR="00196673" w:rsidRDefault="00000000">
      <w:pPr>
        <w:jc w:val="both"/>
      </w:pPr>
      <w:r>
        <w:rPr>
          <w:b/>
        </w:rPr>
        <w:t xml:space="preserve">Timescale separation. </w:t>
      </w:r>
      <w:r>
        <w:t>Coupling coefficients in Q were reduced to definitively separate slow terrain evolution from the fast cascade, curing numerical stiffness.</w:t>
      </w:r>
    </w:p>
    <w:p w14:paraId="28565B6E" w14:textId="77777777" w:rsidR="00196673" w:rsidRDefault="00000000">
      <w:pPr>
        <w:jc w:val="both"/>
      </w:pPr>
      <w:r>
        <w:rPr>
          <w:b/>
        </w:rPr>
        <w:t xml:space="preserve">Calibrated exogenous driver. </w:t>
      </w:r>
      <w:r>
        <w:t>A sustainable macroeconomic kick was found that pushes the system across threshold without overheating.</w:t>
      </w:r>
    </w:p>
    <w:p w14:paraId="13FE41BD" w14:textId="77777777" w:rsidR="00196673" w:rsidRDefault="00000000">
      <w:pPr>
        <w:jc w:val="both"/>
      </w:pPr>
      <w:r>
        <w:t>The result: Λ crosses Λ* smoothly; transition costs approach a structural lower bound; viability and reinforcement approach their ceilings; ρ and Ψ lift off in continuous supercritical pitchfork bifurcations with a clear temporal separation. The gap between the ρ liftoff and the Ψ liftoff is Regime II made visible.</w:t>
      </w:r>
    </w:p>
    <w:p w14:paraId="1C2C9AAC" w14:textId="77777777" w:rsidR="00196673" w:rsidRDefault="00000000">
      <w:pPr>
        <w:pStyle w:val="Heading2"/>
      </w:pPr>
      <w:r>
        <w:t>Path Dependence: Current Architectural Understanding</w:t>
      </w:r>
    </w:p>
    <w:p w14:paraId="763675FF" w14:textId="77777777" w:rsidR="00196673" w:rsidRDefault="00000000">
      <w:pPr>
        <w:jc w:val="both"/>
      </w:pPr>
      <w:r>
        <w:t>Both bifurcations are supercritical pitchforks—continuous, second-order, reversible at the level of the normal form. The theory does not exhibit topological hysteresis.</w:t>
      </w:r>
    </w:p>
    <w:p w14:paraId="2259BCB6" w14:textId="77777777" w:rsidR="00196673" w:rsidRDefault="00000000">
      <w:pPr>
        <w:jc w:val="both"/>
      </w:pPr>
      <w:r>
        <w:t xml:space="preserve">The current architecture locates path dependence primarily in Q-mediated terrain reshaping. When coherence collapses, the bases do not revert to their pre-coherence values. Q has </w:t>
      </w:r>
      <w:r>
        <w:lastRenderedPageBreak/>
        <w:t>already moved the terrain. The ecosystem is easier to reignite not because the bifurcation topology has changed, but because the structural history of the terrain has been altered. The cascade is reversible. The terrain is not.</w:t>
      </w:r>
    </w:p>
    <w:p w14:paraId="67A95C5E" w14:textId="77777777" w:rsidR="00196673" w:rsidRDefault="00000000">
      <w:pPr>
        <w:jc w:val="both"/>
      </w:pPr>
      <w:r>
        <w:t>A note on precision (from ChatGPT review): Whether irreversibility is entirely in Q, or partly distributed across the coupled system—in Λ–ρ coupling or Ψ-mediated reinforcement loops—remains open. The current formulation is “path dependence primarily in Q.” This leaves room if later work shows the ratchet is distributed rather than localized.</w:t>
      </w:r>
    </w:p>
    <w:p w14:paraId="67498293" w14:textId="77777777" w:rsidR="00196673" w:rsidRDefault="00000000">
      <w:r>
        <w:br w:type="page"/>
      </w:r>
    </w:p>
    <w:p w14:paraId="0A2327FC" w14:textId="77777777" w:rsidR="00196673" w:rsidRDefault="00000000">
      <w:pPr>
        <w:pStyle w:val="Heading1"/>
        <w:pBdr>
          <w:bottom w:val="single" w:sz="8" w:space="2" w:color="2E75B6"/>
        </w:pBdr>
      </w:pPr>
      <w:r>
        <w:lastRenderedPageBreak/>
        <w:t>3. Keeping It Simple</w:t>
      </w:r>
    </w:p>
    <w:p w14:paraId="01C19537" w14:textId="77777777" w:rsidR="00196673" w:rsidRDefault="00000000">
      <w:pPr>
        <w:jc w:val="both"/>
      </w:pPr>
      <w:r>
        <w:rPr>
          <w:i/>
        </w:rPr>
        <w:t>Wibbens and Kretschmer: Every element must be load-bearing. The editorial warns against “letter soup”—notation that serves the author more than the reader.</w:t>
      </w:r>
    </w:p>
    <w:p w14:paraId="7A8607F7" w14:textId="77777777" w:rsidR="00196673" w:rsidRDefault="00000000">
      <w:pPr>
        <w:pStyle w:val="Heading2"/>
      </w:pPr>
      <w:r>
        <w:t>Notation Reference: The Letter Soup, Organized</w:t>
      </w:r>
    </w:p>
    <w:p w14:paraId="02EC764A" w14:textId="77777777" w:rsidR="00196673" w:rsidRDefault="00000000">
      <w:pPr>
        <w:jc w:val="both"/>
      </w:pPr>
      <w:r>
        <w:t>Every symbol in the theory, organized by the regime in which it becomes active. The cascade builds cumulatively: each regime inherits everything above it. The forward cascade (Λ → ρ → Ψ) is temporally sequenced. The feedback operator Q operates continuously on a slower timescale, reshaping the structural conditions that determine which regime the system occupies.</w:t>
      </w:r>
    </w:p>
    <w:p w14:paraId="44829A1F" w14:textId="77777777" w:rsidR="00196673" w:rsidRDefault="00000000">
      <w:pPr>
        <w:jc w:val="both"/>
      </w:pPr>
      <w:r>
        <w:rPr>
          <w:b/>
        </w:rPr>
        <w:t xml:space="preserve">On co-creation. </w:t>
      </w:r>
      <w:r>
        <w:t>The regimes are not caused by the symbols—the symbols describe what exists in each regime. The forward cascade and the feedback loop are the same system read at two timescales. The system partly constitutes its own conditions of existence.</w:t>
      </w:r>
    </w:p>
    <w:p w14:paraId="615F7BAB" w14:textId="77777777" w:rsidR="00196673" w:rsidRDefault="00000000">
      <w:pPr>
        <w:spacing w:before="280" w:after="120"/>
      </w:pPr>
      <w:r>
        <w:rPr>
          <w:b/>
          <w:color w:val="4A6FA5"/>
        </w:rPr>
        <w:t>REGIME I: Structural Conditions</w:t>
      </w:r>
      <w:r>
        <w:rPr>
          <w:i/>
          <w:color w:val="4A6FA5"/>
          <w:sz w:val="20"/>
        </w:rPr>
        <w:t xml:space="preserve">  — The configuration before activation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6"/>
        <w:gridCol w:w="3117"/>
        <w:gridCol w:w="3117"/>
      </w:tblGrid>
      <w:tr w:rsidR="00196673" w14:paraId="411BE834" w14:textId="77777777">
        <w:trPr>
          <w:jc w:val="center"/>
        </w:trPr>
        <w:tc>
          <w:tcPr>
            <w:tcW w:w="3120" w:type="dxa"/>
            <w:shd w:val="clear" w:color="auto" w:fill="E8EEF6"/>
          </w:tcPr>
          <w:p w14:paraId="271828E3" w14:textId="77777777" w:rsidR="00196673" w:rsidRDefault="00000000">
            <w:r>
              <w:rPr>
                <w:rFonts w:ascii="Georgia" w:hAnsi="Georgia"/>
                <w:b/>
                <w:sz w:val="20"/>
              </w:rPr>
              <w:t>v</w:t>
            </w:r>
          </w:p>
        </w:tc>
        <w:tc>
          <w:tcPr>
            <w:tcW w:w="3120" w:type="dxa"/>
            <w:shd w:val="clear" w:color="auto" w:fill="E8EEF6"/>
          </w:tcPr>
          <w:p w14:paraId="64E5572B" w14:textId="77777777" w:rsidR="00196673" w:rsidRDefault="00000000">
            <w:r>
              <w:rPr>
                <w:b/>
                <w:sz w:val="20"/>
              </w:rPr>
              <w:t>Viability</w:t>
            </w:r>
          </w:p>
        </w:tc>
        <w:tc>
          <w:tcPr>
            <w:tcW w:w="3120" w:type="dxa"/>
            <w:shd w:val="clear" w:color="auto" w:fill="E8EEF6"/>
          </w:tcPr>
          <w:p w14:paraId="4D4DEA22" w14:textId="77777777" w:rsidR="00196673" w:rsidRDefault="00000000">
            <w:r>
              <w:rPr>
                <w:sz w:val="20"/>
              </w:rPr>
              <w:t>The degree to which structural conditions make entrepreneurial action a viable path. Enabling dimension.</w:t>
            </w:r>
          </w:p>
        </w:tc>
      </w:tr>
      <w:tr w:rsidR="00196673" w14:paraId="197FC6AA" w14:textId="77777777">
        <w:trPr>
          <w:jc w:val="center"/>
        </w:trPr>
        <w:tc>
          <w:tcPr>
            <w:tcW w:w="3120" w:type="dxa"/>
          </w:tcPr>
          <w:p w14:paraId="66A7E22A" w14:textId="77777777" w:rsidR="00196673" w:rsidRDefault="00000000">
            <w:r>
              <w:rPr>
                <w:rFonts w:ascii="Georgia" w:hAnsi="Georgia"/>
                <w:b/>
                <w:sz w:val="20"/>
              </w:rPr>
              <w:t>c</w:t>
            </w:r>
          </w:p>
        </w:tc>
        <w:tc>
          <w:tcPr>
            <w:tcW w:w="3120" w:type="dxa"/>
          </w:tcPr>
          <w:p w14:paraId="519C45D7" w14:textId="77777777" w:rsidR="00196673" w:rsidRDefault="00000000">
            <w:r>
              <w:rPr>
                <w:b/>
                <w:sz w:val="20"/>
              </w:rPr>
              <w:t>Transition cost</w:t>
            </w:r>
          </w:p>
        </w:tc>
        <w:tc>
          <w:tcPr>
            <w:tcW w:w="3120" w:type="dxa"/>
          </w:tcPr>
          <w:p w14:paraId="7330281D" w14:textId="77777777" w:rsidR="00196673" w:rsidRDefault="00000000">
            <w:r>
              <w:rPr>
                <w:sz w:val="20"/>
              </w:rPr>
              <w:t>Friction and barriers in shifting from non-participation to participation. Inhibiting dimension, scaled [0, 1].</w:t>
            </w:r>
          </w:p>
        </w:tc>
      </w:tr>
      <w:tr w:rsidR="00196673" w14:paraId="13EE5FCB" w14:textId="77777777">
        <w:trPr>
          <w:jc w:val="center"/>
        </w:trPr>
        <w:tc>
          <w:tcPr>
            <w:tcW w:w="3120" w:type="dxa"/>
            <w:shd w:val="clear" w:color="auto" w:fill="E8EEF6"/>
          </w:tcPr>
          <w:p w14:paraId="55F53169" w14:textId="77777777" w:rsidR="00196673" w:rsidRDefault="00000000">
            <w:r>
              <w:rPr>
                <w:rFonts w:ascii="Georgia" w:hAnsi="Georgia"/>
                <w:b/>
                <w:sz w:val="20"/>
              </w:rPr>
              <w:t>r</w:t>
            </w:r>
          </w:p>
        </w:tc>
        <w:tc>
          <w:tcPr>
            <w:tcW w:w="3120" w:type="dxa"/>
            <w:shd w:val="clear" w:color="auto" w:fill="E8EEF6"/>
          </w:tcPr>
          <w:p w14:paraId="3A757830" w14:textId="77777777" w:rsidR="00196673" w:rsidRDefault="00000000">
            <w:r>
              <w:rPr>
                <w:b/>
                <w:sz w:val="20"/>
              </w:rPr>
              <w:t>Social reinforcement</w:t>
            </w:r>
          </w:p>
        </w:tc>
        <w:tc>
          <w:tcPr>
            <w:tcW w:w="3120" w:type="dxa"/>
            <w:shd w:val="clear" w:color="auto" w:fill="E8EEF6"/>
          </w:tcPr>
          <w:p w14:paraId="4790AA9F" w14:textId="77777777" w:rsidR="00196673" w:rsidRDefault="00000000">
            <w:r>
              <w:rPr>
                <w:sz w:val="20"/>
              </w:rPr>
              <w:t>The degree to which the social environment supports or rewards entrepreneurial action. Relational dimension, bounded at zero (r ≥ 0).</w:t>
            </w:r>
          </w:p>
        </w:tc>
      </w:tr>
      <w:tr w:rsidR="00196673" w14:paraId="0E92DE92" w14:textId="77777777">
        <w:trPr>
          <w:jc w:val="center"/>
        </w:trPr>
        <w:tc>
          <w:tcPr>
            <w:tcW w:w="3120" w:type="dxa"/>
          </w:tcPr>
          <w:p w14:paraId="3ADDB3E8" w14:textId="77777777" w:rsidR="00196673" w:rsidRDefault="00000000">
            <w:r>
              <w:rPr>
                <w:rFonts w:ascii="Georgia" w:hAnsi="Georgia"/>
                <w:b/>
                <w:sz w:val="20"/>
              </w:rPr>
              <w:t>℘</w:t>
            </w:r>
          </w:p>
        </w:tc>
        <w:tc>
          <w:tcPr>
            <w:tcW w:w="3120" w:type="dxa"/>
          </w:tcPr>
          <w:p w14:paraId="664B97DB" w14:textId="77777777" w:rsidR="00196673" w:rsidRDefault="00000000">
            <w:r>
              <w:rPr>
                <w:b/>
                <w:sz w:val="20"/>
              </w:rPr>
              <w:t>Participation space</w:t>
            </w:r>
          </w:p>
        </w:tc>
        <w:tc>
          <w:tcPr>
            <w:tcW w:w="3120" w:type="dxa"/>
          </w:tcPr>
          <w:p w14:paraId="7D0D9ED2" w14:textId="77777777" w:rsidR="00196673" w:rsidRDefault="00000000">
            <w:r>
              <w:rPr>
                <w:sz w:val="20"/>
              </w:rPr>
              <w:t>The three-dimensional space (v, c, r) in which each agent occupies a configuration. Dimensional structure without an assumed distance metric.</w:t>
            </w:r>
          </w:p>
        </w:tc>
      </w:tr>
      <w:tr w:rsidR="00196673" w14:paraId="03217CF0" w14:textId="77777777">
        <w:trPr>
          <w:jc w:val="center"/>
        </w:trPr>
        <w:tc>
          <w:tcPr>
            <w:tcW w:w="3120" w:type="dxa"/>
            <w:shd w:val="clear" w:color="auto" w:fill="E8EEF6"/>
          </w:tcPr>
          <w:p w14:paraId="33713951" w14:textId="77777777" w:rsidR="00196673" w:rsidRDefault="00000000">
            <w:r>
              <w:rPr>
                <w:rFonts w:ascii="Georgia" w:hAnsi="Georgia"/>
                <w:b/>
                <w:sz w:val="20"/>
              </w:rPr>
              <w:t>F</w:t>
            </w:r>
          </w:p>
        </w:tc>
        <w:tc>
          <w:tcPr>
            <w:tcW w:w="3120" w:type="dxa"/>
            <w:shd w:val="clear" w:color="auto" w:fill="E8EEF6"/>
          </w:tcPr>
          <w:p w14:paraId="19B0ADB2" w14:textId="77777777" w:rsidR="00196673" w:rsidRDefault="00000000">
            <w:r>
              <w:rPr>
                <w:b/>
                <w:sz w:val="20"/>
              </w:rPr>
              <w:t>Composition function</w:t>
            </w:r>
          </w:p>
        </w:tc>
        <w:tc>
          <w:tcPr>
            <w:tcW w:w="3120" w:type="dxa"/>
            <w:shd w:val="clear" w:color="auto" w:fill="E8EEF6"/>
          </w:tcPr>
          <w:p w14:paraId="2A045444" w14:textId="77777777" w:rsidR="00196673" w:rsidRDefault="00000000">
            <w:r>
              <w:rPr>
                <w:sz w:val="20"/>
              </w:rPr>
              <w:t>Maps the three bases to a single scalar. Simplest admissible form: v(1−c)r. Must satisfy zero-collapse.</w:t>
            </w:r>
          </w:p>
        </w:tc>
      </w:tr>
      <w:tr w:rsidR="00196673" w14:paraId="3BC05FC3" w14:textId="77777777">
        <w:trPr>
          <w:jc w:val="center"/>
        </w:trPr>
        <w:tc>
          <w:tcPr>
            <w:tcW w:w="3120" w:type="dxa"/>
          </w:tcPr>
          <w:p w14:paraId="36C2BA8F" w14:textId="77777777" w:rsidR="00196673" w:rsidRDefault="00000000">
            <w:r>
              <w:rPr>
                <w:rFonts w:ascii="Georgia" w:hAnsi="Georgia"/>
                <w:b/>
                <w:sz w:val="20"/>
              </w:rPr>
              <w:t>Λ</w:t>
            </w:r>
          </w:p>
        </w:tc>
        <w:tc>
          <w:tcPr>
            <w:tcW w:w="3120" w:type="dxa"/>
          </w:tcPr>
          <w:p w14:paraId="677BE2B4" w14:textId="77777777" w:rsidR="00196673" w:rsidRDefault="00000000">
            <w:r>
              <w:rPr>
                <w:b/>
                <w:sz w:val="20"/>
              </w:rPr>
              <w:t>Structural conduciveness</w:t>
            </w:r>
          </w:p>
        </w:tc>
        <w:tc>
          <w:tcPr>
            <w:tcW w:w="3120" w:type="dxa"/>
          </w:tcPr>
          <w:p w14:paraId="16B513AC" w14:textId="77777777" w:rsidR="00196673" w:rsidRDefault="00000000">
            <w:r>
              <w:rPr>
                <w:sz w:val="20"/>
              </w:rPr>
              <w:t xml:space="preserve">Composite scalar Λ = F(v,c,r). The degree to which structural conditions are conducive to activation. Control parameter for </w:t>
            </w:r>
            <w:r>
              <w:rPr>
                <w:sz w:val="20"/>
              </w:rPr>
              <w:lastRenderedPageBreak/>
              <w:t>the first bifurcation.</w:t>
            </w:r>
          </w:p>
        </w:tc>
      </w:tr>
      <w:tr w:rsidR="00196673" w14:paraId="0F18FBA2" w14:textId="77777777">
        <w:trPr>
          <w:jc w:val="center"/>
        </w:trPr>
        <w:tc>
          <w:tcPr>
            <w:tcW w:w="3120" w:type="dxa"/>
            <w:shd w:val="clear" w:color="auto" w:fill="E8EEF6"/>
          </w:tcPr>
          <w:p w14:paraId="5E26911B" w14:textId="77777777" w:rsidR="00196673" w:rsidRDefault="00000000">
            <w:r>
              <w:rPr>
                <w:rFonts w:ascii="Georgia" w:hAnsi="Georgia"/>
                <w:b/>
                <w:sz w:val="20"/>
              </w:rPr>
              <w:lastRenderedPageBreak/>
              <w:t>Λ*</w:t>
            </w:r>
          </w:p>
        </w:tc>
        <w:tc>
          <w:tcPr>
            <w:tcW w:w="3120" w:type="dxa"/>
            <w:shd w:val="clear" w:color="auto" w:fill="E8EEF6"/>
          </w:tcPr>
          <w:p w14:paraId="0899ADC6" w14:textId="77777777" w:rsidR="00196673" w:rsidRDefault="00000000">
            <w:r>
              <w:rPr>
                <w:b/>
                <w:sz w:val="20"/>
              </w:rPr>
              <w:t>Activation threshold</w:t>
            </w:r>
          </w:p>
        </w:tc>
        <w:tc>
          <w:tcPr>
            <w:tcW w:w="3120" w:type="dxa"/>
            <w:shd w:val="clear" w:color="auto" w:fill="E8EEF6"/>
          </w:tcPr>
          <w:p w14:paraId="0AAC4D2A" w14:textId="77777777" w:rsidR="00196673" w:rsidRDefault="00000000">
            <w:r>
              <w:rPr>
                <w:sz w:val="20"/>
              </w:rPr>
              <w:t>Critical value of Λ at which the system’s qualitative behavior changes. Below Λ*, the only stable state is ρ = 0.</w:t>
            </w:r>
          </w:p>
        </w:tc>
      </w:tr>
    </w:tbl>
    <w:p w14:paraId="4C7A323E" w14:textId="77777777" w:rsidR="00196673" w:rsidRDefault="00000000">
      <w:pPr>
        <w:spacing w:before="280" w:after="120"/>
      </w:pPr>
      <w:r>
        <w:rPr>
          <w:b/>
          <w:color w:val="4A6FA5"/>
        </w:rPr>
        <w:t>REGIME II: Activation Without Coherence</w:t>
      </w:r>
      <w:r>
        <w:rPr>
          <w:i/>
          <w:color w:val="4A6FA5"/>
          <w:sz w:val="20"/>
        </w:rPr>
        <w:t xml:space="preserve">  — Participation density emerges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6"/>
        <w:gridCol w:w="3117"/>
        <w:gridCol w:w="3117"/>
      </w:tblGrid>
      <w:tr w:rsidR="00196673" w14:paraId="7FF4F52F" w14:textId="77777777">
        <w:trPr>
          <w:jc w:val="center"/>
        </w:trPr>
        <w:tc>
          <w:tcPr>
            <w:tcW w:w="3120" w:type="dxa"/>
            <w:shd w:val="clear" w:color="auto" w:fill="E8EEF6"/>
          </w:tcPr>
          <w:p w14:paraId="06E65DCD" w14:textId="77777777" w:rsidR="00196673" w:rsidRDefault="00000000">
            <w:r>
              <w:rPr>
                <w:rFonts w:ascii="Georgia" w:hAnsi="Georgia"/>
                <w:b/>
                <w:sz w:val="20"/>
              </w:rPr>
              <w:t>δᵢ(t)</w:t>
            </w:r>
          </w:p>
        </w:tc>
        <w:tc>
          <w:tcPr>
            <w:tcW w:w="3120" w:type="dxa"/>
            <w:shd w:val="clear" w:color="auto" w:fill="E8EEF6"/>
          </w:tcPr>
          <w:p w14:paraId="4EA93CD1" w14:textId="77777777" w:rsidR="00196673" w:rsidRDefault="00000000">
            <w:r>
              <w:rPr>
                <w:b/>
                <w:sz w:val="20"/>
              </w:rPr>
              <w:t>Action variable</w:t>
            </w:r>
          </w:p>
        </w:tc>
        <w:tc>
          <w:tcPr>
            <w:tcW w:w="3120" w:type="dxa"/>
            <w:shd w:val="clear" w:color="auto" w:fill="E8EEF6"/>
          </w:tcPr>
          <w:p w14:paraId="4D8EF25F" w14:textId="77777777" w:rsidR="00196673" w:rsidRDefault="00000000">
            <w:r>
              <w:rPr>
                <w:sz w:val="20"/>
              </w:rPr>
              <w:t>Registers whether and how agent i participates at time t. The primitive observable of the theory.</w:t>
            </w:r>
          </w:p>
        </w:tc>
      </w:tr>
      <w:tr w:rsidR="00196673" w14:paraId="6569BDF4" w14:textId="77777777">
        <w:trPr>
          <w:jc w:val="center"/>
        </w:trPr>
        <w:tc>
          <w:tcPr>
            <w:tcW w:w="3120" w:type="dxa"/>
          </w:tcPr>
          <w:p w14:paraId="736F01A2" w14:textId="77777777" w:rsidR="00196673" w:rsidRDefault="00000000">
            <w:r>
              <w:rPr>
                <w:rFonts w:ascii="Georgia" w:hAnsi="Georgia"/>
                <w:b/>
                <w:sz w:val="20"/>
              </w:rPr>
              <w:t>χᵢ(t)†</w:t>
            </w:r>
          </w:p>
        </w:tc>
        <w:tc>
          <w:tcPr>
            <w:tcW w:w="3120" w:type="dxa"/>
          </w:tcPr>
          <w:p w14:paraId="049EA3E8" w14:textId="77777777" w:rsidR="00196673" w:rsidRDefault="00000000">
            <w:r>
              <w:rPr>
                <w:b/>
                <w:sz w:val="20"/>
              </w:rPr>
              <w:t>Participation indicator</w:t>
            </w:r>
          </w:p>
        </w:tc>
        <w:tc>
          <w:tcPr>
            <w:tcW w:w="3120" w:type="dxa"/>
          </w:tcPr>
          <w:p w14:paraId="5502BF17" w14:textId="77777777" w:rsidR="00196673" w:rsidRDefault="00000000">
            <w:r>
              <w:rPr>
                <w:sz w:val="20"/>
              </w:rPr>
              <w:t>Equals 1 when agent i’s action stream projects non-zero onto all three bases simultaneously; 0 otherwise.</w:t>
            </w:r>
          </w:p>
        </w:tc>
      </w:tr>
      <w:tr w:rsidR="00196673" w14:paraId="3A1F3036" w14:textId="77777777">
        <w:trPr>
          <w:jc w:val="center"/>
        </w:trPr>
        <w:tc>
          <w:tcPr>
            <w:tcW w:w="3120" w:type="dxa"/>
            <w:shd w:val="clear" w:color="auto" w:fill="E8EEF6"/>
          </w:tcPr>
          <w:p w14:paraId="24A9295C" w14:textId="77777777" w:rsidR="00196673" w:rsidRDefault="00000000">
            <w:r>
              <w:rPr>
                <w:rFonts w:ascii="Georgia" w:hAnsi="Georgia"/>
                <w:b/>
                <w:sz w:val="20"/>
              </w:rPr>
              <w:t>ρ</w:t>
            </w:r>
          </w:p>
        </w:tc>
        <w:tc>
          <w:tcPr>
            <w:tcW w:w="3120" w:type="dxa"/>
            <w:shd w:val="clear" w:color="auto" w:fill="E8EEF6"/>
          </w:tcPr>
          <w:p w14:paraId="08A48199" w14:textId="77777777" w:rsidR="00196673" w:rsidRDefault="00000000">
            <w:r>
              <w:rPr>
                <w:b/>
                <w:sz w:val="20"/>
              </w:rPr>
              <w:t>Activation density</w:t>
            </w:r>
          </w:p>
        </w:tc>
        <w:tc>
          <w:tcPr>
            <w:tcW w:w="3120" w:type="dxa"/>
            <w:shd w:val="clear" w:color="auto" w:fill="E8EEF6"/>
          </w:tcPr>
          <w:p w14:paraId="2A0C6F86" w14:textId="77777777" w:rsidR="00196673" w:rsidRDefault="00000000">
            <w:r>
              <w:rPr>
                <w:sz w:val="20"/>
              </w:rPr>
              <w:t>Fraction of the population actively participating. First order parameter. Governed by dρ/dt = α(Λ−Λ*)ρ − βρ³ + η(t).</w:t>
            </w:r>
          </w:p>
        </w:tc>
      </w:tr>
      <w:tr w:rsidR="00196673" w14:paraId="1732F90B" w14:textId="77777777">
        <w:trPr>
          <w:jc w:val="center"/>
        </w:trPr>
        <w:tc>
          <w:tcPr>
            <w:tcW w:w="3120" w:type="dxa"/>
          </w:tcPr>
          <w:p w14:paraId="59895ADC" w14:textId="77777777" w:rsidR="00196673" w:rsidRDefault="00000000">
            <w:r>
              <w:rPr>
                <w:rFonts w:ascii="Georgia" w:hAnsi="Georgia"/>
                <w:b/>
                <w:sz w:val="20"/>
              </w:rPr>
              <w:t>α</w:t>
            </w:r>
          </w:p>
        </w:tc>
        <w:tc>
          <w:tcPr>
            <w:tcW w:w="3120" w:type="dxa"/>
          </w:tcPr>
          <w:p w14:paraId="056FA28F" w14:textId="77777777" w:rsidR="00196673" w:rsidRDefault="00000000">
            <w:r>
              <w:rPr>
                <w:b/>
                <w:sz w:val="20"/>
              </w:rPr>
              <w:t>Growth/decay rate</w:t>
            </w:r>
          </w:p>
        </w:tc>
        <w:tc>
          <w:tcPr>
            <w:tcW w:w="3120" w:type="dxa"/>
          </w:tcPr>
          <w:p w14:paraId="26BC0C5C" w14:textId="77777777" w:rsidR="00196673" w:rsidRDefault="00000000">
            <w:r>
              <w:rPr>
                <w:sz w:val="20"/>
              </w:rPr>
              <w:t>Scales net growth or decay of activation near threshold.</w:t>
            </w:r>
          </w:p>
        </w:tc>
      </w:tr>
      <w:tr w:rsidR="00196673" w14:paraId="4164D5C5" w14:textId="77777777">
        <w:trPr>
          <w:jc w:val="center"/>
        </w:trPr>
        <w:tc>
          <w:tcPr>
            <w:tcW w:w="3120" w:type="dxa"/>
            <w:shd w:val="clear" w:color="auto" w:fill="E8EEF6"/>
          </w:tcPr>
          <w:p w14:paraId="1988E9C0" w14:textId="77777777" w:rsidR="00196673" w:rsidRDefault="00000000">
            <w:r>
              <w:rPr>
                <w:rFonts w:ascii="Georgia" w:hAnsi="Georgia"/>
                <w:b/>
                <w:sz w:val="20"/>
              </w:rPr>
              <w:t>β</w:t>
            </w:r>
          </w:p>
        </w:tc>
        <w:tc>
          <w:tcPr>
            <w:tcW w:w="3120" w:type="dxa"/>
            <w:shd w:val="clear" w:color="auto" w:fill="E8EEF6"/>
          </w:tcPr>
          <w:p w14:paraId="347C1A8E" w14:textId="77777777" w:rsidR="00196673" w:rsidRDefault="00000000">
            <w:r>
              <w:rPr>
                <w:b/>
                <w:sz w:val="20"/>
              </w:rPr>
              <w:t>Saturation coefficient</w:t>
            </w:r>
          </w:p>
        </w:tc>
        <w:tc>
          <w:tcPr>
            <w:tcW w:w="3120" w:type="dxa"/>
            <w:shd w:val="clear" w:color="auto" w:fill="E8EEF6"/>
          </w:tcPr>
          <w:p w14:paraId="18138F15" w14:textId="77777777" w:rsidR="00196673" w:rsidRDefault="00000000">
            <w:r>
              <w:rPr>
                <w:sz w:val="20"/>
              </w:rPr>
              <w:t>Ensures activation density does not grow without bound. Provides cubic saturation −βρ³.</w:t>
            </w:r>
          </w:p>
        </w:tc>
      </w:tr>
      <w:tr w:rsidR="00196673" w14:paraId="01AA546C" w14:textId="77777777">
        <w:trPr>
          <w:jc w:val="center"/>
        </w:trPr>
        <w:tc>
          <w:tcPr>
            <w:tcW w:w="3120" w:type="dxa"/>
          </w:tcPr>
          <w:p w14:paraId="5469C8CC" w14:textId="77777777" w:rsidR="00196673" w:rsidRDefault="00000000">
            <w:r>
              <w:rPr>
                <w:rFonts w:ascii="Georgia" w:hAnsi="Georgia"/>
                <w:b/>
                <w:sz w:val="20"/>
              </w:rPr>
              <w:t>η(t)†</w:t>
            </w:r>
          </w:p>
        </w:tc>
        <w:tc>
          <w:tcPr>
            <w:tcW w:w="3120" w:type="dxa"/>
          </w:tcPr>
          <w:p w14:paraId="794918F7" w14:textId="77777777" w:rsidR="00196673" w:rsidRDefault="00000000">
            <w:r>
              <w:rPr>
                <w:b/>
                <w:sz w:val="20"/>
              </w:rPr>
              <w:t>Noise</w:t>
            </w:r>
          </w:p>
        </w:tc>
        <w:tc>
          <w:tcPr>
            <w:tcW w:w="3120" w:type="dxa"/>
          </w:tcPr>
          <w:p w14:paraId="044FBA4A" w14:textId="77777777" w:rsidR="00196673" w:rsidRDefault="00000000">
            <w:r>
              <w:rPr>
                <w:sz w:val="20"/>
              </w:rPr>
              <w:t>Stochastic fluctuations — idiosyncratic shocks and heterogeneity not captured by the mean field.</w:t>
            </w:r>
          </w:p>
        </w:tc>
      </w:tr>
      <w:tr w:rsidR="00196673" w14:paraId="243718BA" w14:textId="77777777">
        <w:trPr>
          <w:jc w:val="center"/>
        </w:trPr>
        <w:tc>
          <w:tcPr>
            <w:tcW w:w="3120" w:type="dxa"/>
            <w:shd w:val="clear" w:color="auto" w:fill="E8EEF6"/>
          </w:tcPr>
          <w:p w14:paraId="7E7554CC" w14:textId="77777777" w:rsidR="00196673" w:rsidRDefault="00000000">
            <w:r>
              <w:rPr>
                <w:rFonts w:ascii="Georgia" w:hAnsi="Georgia"/>
                <w:b/>
                <w:sz w:val="20"/>
              </w:rPr>
              <w:t>g†</w:t>
            </w:r>
          </w:p>
        </w:tc>
        <w:tc>
          <w:tcPr>
            <w:tcW w:w="3120" w:type="dxa"/>
            <w:shd w:val="clear" w:color="auto" w:fill="E8EEF6"/>
          </w:tcPr>
          <w:p w14:paraId="764324B2" w14:textId="77777777" w:rsidR="00196673" w:rsidRDefault="00000000">
            <w:r>
              <w:rPr>
                <w:b/>
                <w:sz w:val="20"/>
              </w:rPr>
              <w:t>Response function</w:t>
            </w:r>
          </w:p>
        </w:tc>
        <w:tc>
          <w:tcPr>
            <w:tcW w:w="3120" w:type="dxa"/>
            <w:shd w:val="clear" w:color="auto" w:fill="E8EEF6"/>
          </w:tcPr>
          <w:p w14:paraId="08E3BF85" w14:textId="77777777" w:rsidR="00196673" w:rsidRDefault="00000000">
            <w:r>
              <w:rPr>
                <w:sz w:val="20"/>
              </w:rPr>
              <w:t>Maps effective structural conditions to activation response. Sigmoid nonlinearity. Input-shift architecture: g(Λ_ext + αρ).</w:t>
            </w:r>
          </w:p>
        </w:tc>
      </w:tr>
    </w:tbl>
    <w:p w14:paraId="70BC4F04" w14:textId="77777777" w:rsidR="00196673" w:rsidRDefault="00000000">
      <w:pPr>
        <w:jc w:val="both"/>
      </w:pPr>
      <w:r>
        <w:rPr>
          <w:i/>
        </w:rPr>
        <w:t>† Auxiliary notation. χᵢ(t) captures the discontinuous participation event (the piercing) as distinct from the continuous action stream; its inclusion is provisional pending Phil’s judgment on whether the distinction earns its notational cost (ChatGPT and Gemini concur it may be relegated to prose). η(t) and g clarify mechanisms but may be adjusted at the manuscript level without architectural consequence.</w:t>
      </w:r>
    </w:p>
    <w:p w14:paraId="0330362E" w14:textId="77777777" w:rsidR="00196673" w:rsidRDefault="00000000">
      <w:pPr>
        <w:spacing w:before="280" w:after="120"/>
      </w:pPr>
      <w:r>
        <w:rPr>
          <w:b/>
          <w:color w:val="4A6FA5"/>
        </w:rPr>
        <w:t>REGIME III: Coherent Ecosystem</w:t>
      </w:r>
      <w:r>
        <w:rPr>
          <w:i/>
          <w:color w:val="4A6FA5"/>
          <w:sz w:val="20"/>
        </w:rPr>
        <w:t xml:space="preserve">  — Mutual reinforcement emerges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6"/>
        <w:gridCol w:w="3117"/>
        <w:gridCol w:w="3117"/>
      </w:tblGrid>
      <w:tr w:rsidR="00196673" w14:paraId="14DFC187" w14:textId="77777777">
        <w:trPr>
          <w:jc w:val="center"/>
        </w:trPr>
        <w:tc>
          <w:tcPr>
            <w:tcW w:w="3120" w:type="dxa"/>
            <w:shd w:val="clear" w:color="auto" w:fill="E8EEF6"/>
          </w:tcPr>
          <w:p w14:paraId="6B9B4193" w14:textId="77777777" w:rsidR="00196673" w:rsidRDefault="00000000">
            <w:r>
              <w:rPr>
                <w:rFonts w:ascii="Georgia" w:hAnsi="Georgia"/>
                <w:b/>
                <w:sz w:val="20"/>
              </w:rPr>
              <w:lastRenderedPageBreak/>
              <w:t>Ψ</w:t>
            </w:r>
          </w:p>
        </w:tc>
        <w:tc>
          <w:tcPr>
            <w:tcW w:w="3120" w:type="dxa"/>
            <w:shd w:val="clear" w:color="auto" w:fill="E8EEF6"/>
          </w:tcPr>
          <w:p w14:paraId="3E2F8D74" w14:textId="77777777" w:rsidR="00196673" w:rsidRDefault="00000000">
            <w:r>
              <w:rPr>
                <w:b/>
                <w:sz w:val="20"/>
              </w:rPr>
              <w:t>Coherence</w:t>
            </w:r>
          </w:p>
        </w:tc>
        <w:tc>
          <w:tcPr>
            <w:tcW w:w="3120" w:type="dxa"/>
            <w:shd w:val="clear" w:color="auto" w:fill="E8EEF6"/>
          </w:tcPr>
          <w:p w14:paraId="41527F05" w14:textId="77777777" w:rsidR="00196673" w:rsidRDefault="00000000">
            <w:r>
              <w:rPr>
                <w:sz w:val="20"/>
              </w:rPr>
              <w:t>The degree of mutual reinforcement among entrepreneurial activities such that the ecosystem endogenously reproduces its own conditions of participation. Second order parameter. Governed by dΨ/dt = μ(ρ)Ψ − γΨ³.</w:t>
            </w:r>
          </w:p>
        </w:tc>
      </w:tr>
      <w:tr w:rsidR="00196673" w14:paraId="07BB9AEB" w14:textId="77777777">
        <w:trPr>
          <w:jc w:val="center"/>
        </w:trPr>
        <w:tc>
          <w:tcPr>
            <w:tcW w:w="3120" w:type="dxa"/>
          </w:tcPr>
          <w:p w14:paraId="6710224B" w14:textId="77777777" w:rsidR="00196673" w:rsidRDefault="00000000">
            <w:r>
              <w:rPr>
                <w:rFonts w:ascii="Georgia" w:hAnsi="Georgia"/>
                <w:b/>
                <w:sz w:val="20"/>
              </w:rPr>
              <w:t>μ(ρ)</w:t>
            </w:r>
          </w:p>
        </w:tc>
        <w:tc>
          <w:tcPr>
            <w:tcW w:w="3120" w:type="dxa"/>
          </w:tcPr>
          <w:p w14:paraId="710097AC" w14:textId="77777777" w:rsidR="00196673" w:rsidRDefault="00000000">
            <w:r>
              <w:rPr>
                <w:b/>
                <w:sz w:val="20"/>
              </w:rPr>
              <w:t>Coupling coefficient</w:t>
            </w:r>
          </w:p>
        </w:tc>
        <w:tc>
          <w:tcPr>
            <w:tcW w:w="3120" w:type="dxa"/>
          </w:tcPr>
          <w:p w14:paraId="3EC78810" w14:textId="77777777" w:rsidR="00196673" w:rsidRDefault="00000000">
            <w:r>
              <w:rPr>
                <w:sz w:val="20"/>
              </w:rPr>
              <w:t>Connects activation to coherence. Sign change is the generative mechanism: μ must remain non-positive in the low-density limit; when μ becomes positive, coherence can emerge. Functional form intentionally open.</w:t>
            </w:r>
          </w:p>
        </w:tc>
      </w:tr>
      <w:tr w:rsidR="00196673" w14:paraId="7A8D5A4E" w14:textId="77777777">
        <w:trPr>
          <w:jc w:val="center"/>
        </w:trPr>
        <w:tc>
          <w:tcPr>
            <w:tcW w:w="3120" w:type="dxa"/>
            <w:shd w:val="clear" w:color="auto" w:fill="E8EEF6"/>
          </w:tcPr>
          <w:p w14:paraId="4332D953" w14:textId="77777777" w:rsidR="00196673" w:rsidRDefault="00000000">
            <w:r>
              <w:rPr>
                <w:rFonts w:ascii="Georgia" w:hAnsi="Georgia"/>
                <w:b/>
                <w:sz w:val="20"/>
              </w:rPr>
              <w:t>γ</w:t>
            </w:r>
          </w:p>
        </w:tc>
        <w:tc>
          <w:tcPr>
            <w:tcW w:w="3120" w:type="dxa"/>
            <w:shd w:val="clear" w:color="auto" w:fill="E8EEF6"/>
          </w:tcPr>
          <w:p w14:paraId="10C82896" w14:textId="77777777" w:rsidR="00196673" w:rsidRDefault="00000000">
            <w:r>
              <w:rPr>
                <w:b/>
                <w:sz w:val="20"/>
              </w:rPr>
              <w:t>Coherence saturation</w:t>
            </w:r>
          </w:p>
        </w:tc>
        <w:tc>
          <w:tcPr>
            <w:tcW w:w="3120" w:type="dxa"/>
            <w:shd w:val="clear" w:color="auto" w:fill="E8EEF6"/>
          </w:tcPr>
          <w:p w14:paraId="69C9B764" w14:textId="77777777" w:rsidR="00196673" w:rsidRDefault="00000000">
            <w:r>
              <w:rPr>
                <w:sz w:val="20"/>
              </w:rPr>
              <w:t>Ensures coherence stabilizes at a finite value. Cubic saturation −γΨ³.</w:t>
            </w:r>
          </w:p>
        </w:tc>
      </w:tr>
    </w:tbl>
    <w:p w14:paraId="1BCE6085" w14:textId="77777777" w:rsidR="00196673" w:rsidRDefault="00000000">
      <w:pPr>
        <w:spacing w:before="280" w:after="120"/>
      </w:pPr>
      <w:r>
        <w:rPr>
          <w:b/>
          <w:color w:val="7B5EA7"/>
        </w:rPr>
        <w:t>FEEDBACK: Structural Memory</w:t>
      </w:r>
      <w:r>
        <w:rPr>
          <w:i/>
          <w:color w:val="7B5EA7"/>
          <w:sz w:val="20"/>
        </w:rPr>
        <w:t xml:space="preserve">  — Operates across all regimes on a slower timescale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6"/>
        <w:gridCol w:w="3117"/>
        <w:gridCol w:w="3117"/>
      </w:tblGrid>
      <w:tr w:rsidR="00196673" w14:paraId="30C19066" w14:textId="77777777">
        <w:trPr>
          <w:jc w:val="center"/>
        </w:trPr>
        <w:tc>
          <w:tcPr>
            <w:tcW w:w="3120" w:type="dxa"/>
            <w:shd w:val="clear" w:color="auto" w:fill="F0EBF5"/>
          </w:tcPr>
          <w:p w14:paraId="57597D4C" w14:textId="77777777" w:rsidR="00196673" w:rsidRDefault="00000000">
            <w:r>
              <w:rPr>
                <w:rFonts w:ascii="Georgia" w:hAnsi="Georgia"/>
                <w:b/>
                <w:sz w:val="20"/>
              </w:rPr>
              <w:t>Q</w:t>
            </w:r>
          </w:p>
        </w:tc>
        <w:tc>
          <w:tcPr>
            <w:tcW w:w="3120" w:type="dxa"/>
            <w:shd w:val="clear" w:color="auto" w:fill="F0EBF5"/>
          </w:tcPr>
          <w:p w14:paraId="1F28A22E" w14:textId="77777777" w:rsidR="00196673" w:rsidRDefault="00000000">
            <w:r>
              <w:rPr>
                <w:b/>
                <w:sz w:val="20"/>
              </w:rPr>
              <w:t>Feedback operator</w:t>
            </w:r>
          </w:p>
        </w:tc>
        <w:tc>
          <w:tcPr>
            <w:tcW w:w="3120" w:type="dxa"/>
            <w:shd w:val="clear" w:color="auto" w:fill="F0EBF5"/>
          </w:tcPr>
          <w:p w14:paraId="74E282D1" w14:textId="77777777" w:rsidR="00196673" w:rsidRDefault="00000000">
            <w:r>
              <w:rPr>
                <w:sz w:val="20"/>
              </w:rPr>
              <w:t>Reads (ρ, Ψ) → writes to v, c, r individually. No direct pathway between bases. Architecturally enforces base independence. Any admissible Q must produce bounded base evolution. Path dependence lives here.</w:t>
            </w:r>
          </w:p>
        </w:tc>
      </w:tr>
      <w:tr w:rsidR="00196673" w14:paraId="7428F0AB" w14:textId="77777777">
        <w:trPr>
          <w:jc w:val="center"/>
        </w:trPr>
        <w:tc>
          <w:tcPr>
            <w:tcW w:w="3120" w:type="dxa"/>
          </w:tcPr>
          <w:p w14:paraId="0CCD784B" w14:textId="77777777" w:rsidR="00196673" w:rsidRDefault="00000000">
            <w:r>
              <w:rPr>
                <w:rFonts w:ascii="Georgia" w:hAnsi="Georgia"/>
                <w:b/>
                <w:sz w:val="20"/>
              </w:rPr>
              <w:t>τ_Q</w:t>
            </w:r>
          </w:p>
        </w:tc>
        <w:tc>
          <w:tcPr>
            <w:tcW w:w="3120" w:type="dxa"/>
          </w:tcPr>
          <w:p w14:paraId="418C838D" w14:textId="77777777" w:rsidR="00196673" w:rsidRDefault="00000000">
            <w:r>
              <w:rPr>
                <w:b/>
                <w:sz w:val="20"/>
              </w:rPr>
              <w:t>Timescale separation</w:t>
            </w:r>
          </w:p>
        </w:tc>
        <w:tc>
          <w:tcPr>
            <w:tcW w:w="3120" w:type="dxa"/>
          </w:tcPr>
          <w:p w14:paraId="469F9BCD" w14:textId="77777777" w:rsidR="00196673" w:rsidRDefault="00000000">
            <w:r>
              <w:rPr>
                <w:sz w:val="20"/>
              </w:rPr>
              <w:t>Q operates on a longer timescale than the Λ → ρ → Ψ cascade. Architectural requirement. Specific ratio uncommitted.</w:t>
            </w:r>
          </w:p>
        </w:tc>
      </w:tr>
    </w:tbl>
    <w:p w14:paraId="61A5D139" w14:textId="77777777" w:rsidR="00196673" w:rsidRDefault="00000000">
      <w:pPr>
        <w:jc w:val="both"/>
      </w:pPr>
      <w:r>
        <w:rPr>
          <w:b/>
        </w:rPr>
        <w:t xml:space="preserve">Symbol conventions. </w:t>
      </w:r>
      <w:r>
        <w:t>Greek letters designate dynamical variables and coefficients (ρ, Ψ, μ, α, β, γ, η, Λ). Latin letters designate the structural bases (v, c, r) and functional objects (F, g, Q). Script ℘ designates the participation space. Greek = dynamics, Latin = structure and functions.</w:t>
      </w:r>
    </w:p>
    <w:p w14:paraId="31585059" w14:textId="77777777" w:rsidR="00196673" w:rsidRDefault="00000000">
      <w:pPr>
        <w:jc w:val="both"/>
      </w:pPr>
      <w:r>
        <w:rPr>
          <w:b/>
        </w:rPr>
        <w:t xml:space="preserve">The core elements are load-bearing; auxiliary notation clarifies mechanisms. </w:t>
      </w:r>
      <w:r>
        <w:t xml:space="preserve">The central objects — Λ, ρ, Ψ, Q, and the structural bases (v, c, r) — cannot be dropped without collapsing the cascade or losing a regime distinction. Auxiliary notation (g, η(t), and provisionally χᵢ(t)) is included where it clarifies a mechanism or preserves a structural distinction, and may be adjusted at the manuscript level without architectural consequence. The open functional forms </w:t>
      </w:r>
      <w:r>
        <w:lastRenderedPageBreak/>
        <w:t>(μ(ρ), Q, F) are intentionally unspecified—they are absorption points where domain-specific empirical content enters, not gaps in the theory.</w:t>
      </w:r>
    </w:p>
    <w:p w14:paraId="240F3B9A" w14:textId="77777777" w:rsidR="00196673" w:rsidRDefault="00000000">
      <w:pPr>
        <w:pStyle w:val="Heading2"/>
      </w:pPr>
      <w:r>
        <w:t>The Stress-Testing Methodology</w:t>
      </w:r>
    </w:p>
    <w:p w14:paraId="776E518B" w14:textId="77777777" w:rsidR="00196673" w:rsidRDefault="00000000">
      <w:pPr>
        <w:jc w:val="both"/>
      </w:pPr>
      <w:r>
        <w:t>A methodological innovation emerged during the base-independence sessions. The initial approach—starting with a scenario and asking whether the bases can interpret it—was identified as non-falsifying. The corrected method reverses the direction: ask what would break a commitment, not whether a scenario can be accommodated. Three tests were run, all cross-validated: zero-collapse (survived), sufficiency (survived, framed as minimal sufficiency), and independence (survived, empirical correlation via Q ≠ structural dependence).</w:t>
      </w:r>
    </w:p>
    <w:p w14:paraId="5E3B3017" w14:textId="77777777" w:rsidR="00196673" w:rsidRDefault="00000000">
      <w:pPr>
        <w:pStyle w:val="Heading2"/>
      </w:pPr>
      <w:r>
        <w:t>Ontological Language Refinements</w:t>
      </w:r>
    </w:p>
    <w:p w14:paraId="1FB0C018" w14:textId="77777777" w:rsidR="00196673" w:rsidRDefault="00000000">
      <w:pPr>
        <w:jc w:val="both"/>
      </w:pPr>
      <w:r>
        <w:rPr>
          <w:b/>
        </w:rPr>
        <w:t xml:space="preserve">“Conditions as encountered” </w:t>
      </w:r>
      <w:r>
        <w:t>was examined and affirmed as load-bearing ontological language. It enforces directionality: structural bases exist prior to and independent of the agent’s engagement with them.</w:t>
      </w:r>
    </w:p>
    <w:p w14:paraId="5AC6151C" w14:textId="77777777" w:rsidR="00196673" w:rsidRDefault="00000000">
      <w:pPr>
        <w:jc w:val="both"/>
      </w:pPr>
      <w:r>
        <w:rPr>
          <w:b/>
        </w:rPr>
        <w:t xml:space="preserve">The Prigogine guardrail: </w:t>
      </w:r>
      <w:r>
        <w:t>while Prigogine’s dissipative structures provide intellectual inspiration, the theory must stand on its own structural mechanics. The architectural commitments are to the bifurcation mechanics and the action-primitive ontology.</w:t>
      </w:r>
    </w:p>
    <w:p w14:paraId="7C24BC71" w14:textId="77777777" w:rsidR="00196673" w:rsidRDefault="00000000">
      <w:pPr>
        <w:jc w:val="both"/>
      </w:pPr>
      <w:r>
        <w:rPr>
          <w:b/>
        </w:rPr>
        <w:t xml:space="preserve">“Autocatalytic” was struck </w:t>
      </w:r>
      <w:r>
        <w:t>via the triangulation protocol. It assumes a specific feedback topology that may or may not describe Q’s actual form.</w:t>
      </w:r>
    </w:p>
    <w:p w14:paraId="285E431F" w14:textId="77777777" w:rsidR="00196673" w:rsidRDefault="00000000">
      <w:pPr>
        <w:jc w:val="both"/>
      </w:pPr>
      <w:r>
        <w:rPr>
          <w:b/>
        </w:rPr>
        <w:t xml:space="preserve">The Damasio demotion: </w:t>
      </w:r>
      <w:r>
        <w:t>The homeostatic framing and “viability-seeking” language have been demoted from the formal apparatus to intellectual genealogy. Action is primitive because it is observable and sufficient. Phil should feel free to drop the homeostatic language as a manuscript revision, not an architectural one.</w:t>
      </w:r>
    </w:p>
    <w:p w14:paraId="4341D0B5" w14:textId="77777777" w:rsidR="00196673" w:rsidRDefault="00000000">
      <w:pPr>
        <w:pStyle w:val="Heading2"/>
      </w:pPr>
      <w:r>
        <w:t>Structural Conduciveness: Replacing “Terrain Favorability”</w:t>
      </w:r>
    </w:p>
    <w:p w14:paraId="4EF07E6E" w14:textId="77777777" w:rsidR="00196673" w:rsidRDefault="00000000">
      <w:pPr>
        <w:jc w:val="both"/>
      </w:pPr>
      <w:r>
        <w:t>The label “terrain favorability” for Λ has been retired. “Favorable” carries evaluative connotations—favorable for whom?—that brush against the action-not-decision constraint. “Terrain” carries spatial connotations the theory does not intend. The replacement is structural conduciveness—the degree to which structural conditions are conducive to activation.</w:t>
      </w:r>
    </w:p>
    <w:p w14:paraId="7B2F1128" w14:textId="77777777" w:rsidR="00196673" w:rsidRDefault="00000000">
      <w:pPr>
        <w:jc w:val="both"/>
      </w:pPr>
      <w:r>
        <w:t>Definitional rigor:</w:t>
      </w:r>
    </w:p>
    <w:p w14:paraId="57B22B82" w14:textId="77777777" w:rsidR="00196673" w:rsidRDefault="00000000">
      <w:pPr>
        <w:jc w:val="both"/>
      </w:pPr>
      <w:r>
        <w:rPr>
          <w:b/>
        </w:rPr>
        <w:t xml:space="preserve">Action ontology: </w:t>
      </w:r>
      <w:r>
        <w:t>“Conducive” describes a property of the structural configuration, not a judgment by anyone encountering it. An agent does not assess conduciveness; conditions either are or are not conducive regardless of whether anyone notices. Passes.</w:t>
      </w:r>
    </w:p>
    <w:p w14:paraId="693BFD5B" w14:textId="77777777" w:rsidR="00196673" w:rsidRDefault="00000000">
      <w:pPr>
        <w:jc w:val="both"/>
      </w:pPr>
      <w:r>
        <w:rPr>
          <w:b/>
        </w:rPr>
        <w:t xml:space="preserve">Non-evaluative: </w:t>
      </w:r>
      <w:r>
        <w:t>“Conducive” is closer to a physical property—conditions conducive to combustion do not require the fuel’s opinion. Minor residue: “conducive” implies “toward” something, but the “toward” is specified by the theory (activation), not by the agent. Acceptable.</w:t>
      </w:r>
    </w:p>
    <w:p w14:paraId="3D7371D0" w14:textId="77777777" w:rsidR="00196673" w:rsidRDefault="00000000">
      <w:pPr>
        <w:jc w:val="both"/>
      </w:pPr>
      <w:r>
        <w:rPr>
          <w:b/>
        </w:rPr>
        <w:lastRenderedPageBreak/>
        <w:t xml:space="preserve">Non-spatial: </w:t>
      </w:r>
      <w:r>
        <w:t>No spatial content. Describes a configuration in the abstract participation space ℘ = (v, c, r). Passes cleanly.</w:t>
      </w:r>
    </w:p>
    <w:p w14:paraId="10E205AB" w14:textId="77777777" w:rsidR="00196673" w:rsidRDefault="00000000">
      <w:pPr>
        <w:jc w:val="both"/>
      </w:pPr>
      <w:r>
        <w:rPr>
          <w:b/>
        </w:rPr>
        <w:t xml:space="preserve">Zero-collapse: </w:t>
      </w:r>
      <w:r>
        <w:t>“Structural conduciveness equals zero” reads as a factual description of the configuration. Better than “terrain favorability equals zero,” which implies a landscape evaluated and found wanting. Passes.</w:t>
      </w:r>
    </w:p>
    <w:p w14:paraId="4A002113" w14:textId="77777777" w:rsidR="00196673" w:rsidRDefault="00000000">
      <w:pPr>
        <w:jc w:val="both"/>
      </w:pPr>
      <w:r>
        <w:rPr>
          <w:b/>
        </w:rPr>
        <w:t xml:space="preserve">Threshold language: </w:t>
      </w:r>
      <w:r>
        <w:t>“Structural conduciveness crosses the critical threshold” reads naturally. “The system’s structural conduciveness is subcritical/supercritical” also works. Passes.</w:t>
      </w:r>
    </w:p>
    <w:p w14:paraId="0201B956" w14:textId="77777777" w:rsidR="00196673" w:rsidRDefault="00000000">
      <w:pPr>
        <w:jc w:val="both"/>
      </w:pPr>
      <w:r>
        <w:rPr>
          <w:b/>
        </w:rPr>
        <w:t xml:space="preserve">Residual vulnerability: </w:t>
      </w:r>
      <w:r>
        <w:t>“Conducive” has a mildly positive valence in ordinary English. But any word that names “the degree to which conditions support activation” will carry some directional orientation, because the dynamics themselves have direction—the supercritical pitchfork has stable fixed points the system settles into. The directional bias is not in the word; it is in the theory. Even if we never use the word “attractor,” the mathematics contains attractors. We can minimize the evaluative residue in our word choice, but we cannot eliminate it entirely because the mathematics itself is not neutral about the states it produces. The honest move is not to fight this but to acknowledge it.</w:t>
      </w:r>
    </w:p>
    <w:p w14:paraId="172FCD25" w14:textId="77777777" w:rsidR="00196673" w:rsidRDefault="00000000">
      <w:pPr>
        <w:jc w:val="both"/>
      </w:pPr>
      <w:r>
        <w:t>Illustrative examples:</w:t>
      </w:r>
    </w:p>
    <w:p w14:paraId="1FDDC110" w14:textId="77777777" w:rsidR="00196673" w:rsidRDefault="00000000">
      <w:pPr>
        <w:jc w:val="both"/>
      </w:pPr>
      <w:r>
        <w:rPr>
          <w:b/>
        </w:rPr>
        <w:t xml:space="preserve">Chattanooga circa 2008. </w:t>
      </w:r>
      <w:r>
        <w:t>A mid-sized city with a strong philanthropic tradition (r non-zero), a fiber optic network creating new possibilities (v non-zero), and low institutional barriers (c below unity). Structural conduciveness is positive and rising. Nobody is evaluating it—the conditions simply are what they are. “The structural conduciveness is rising” describes the configuration without praising Chattanooga.</w:t>
      </w:r>
    </w:p>
    <w:p w14:paraId="19444B45" w14:textId="77777777" w:rsidR="00196673" w:rsidRDefault="00000000">
      <w:pPr>
        <w:jc w:val="both"/>
      </w:pPr>
      <w:r>
        <w:rPr>
          <w:b/>
        </w:rPr>
        <w:t xml:space="preserve">A company town after the plant closes. </w:t>
      </w:r>
      <w:r>
        <w:t>The dominant employer leaves. Viability collapses. Structural conduciveness is near zero through zero-collapse. “The environment is not conducive to activation” reads as factual description. “The environment is not favorable” reads as judgment. That difference is the word doing its work.</w:t>
      </w:r>
    </w:p>
    <w:p w14:paraId="6C086257" w14:textId="77777777" w:rsidR="00196673" w:rsidRDefault="00000000">
      <w:pPr>
        <w:jc w:val="both"/>
      </w:pPr>
      <w:r>
        <w:rPr>
          <w:b/>
        </w:rPr>
        <w:t xml:space="preserve">A well-funded but disconnected innovation district. </w:t>
      </w:r>
      <w:r>
        <w:t>Gleaming tech campus, tax incentives, anchor tenants—but r is near zero. Structural conduciveness is suppressed despite v and low c. “Conditions are not conducive to activation” identifies a structural gap without passing judgment.</w:t>
      </w:r>
    </w:p>
    <w:p w14:paraId="18B1A05D" w14:textId="77777777" w:rsidR="00196673" w:rsidRDefault="00000000">
      <w:r>
        <w:br w:type="page"/>
      </w:r>
    </w:p>
    <w:p w14:paraId="7161D3E4" w14:textId="77777777" w:rsidR="00196673" w:rsidRDefault="00000000">
      <w:pPr>
        <w:pStyle w:val="Heading1"/>
        <w:pBdr>
          <w:bottom w:val="single" w:sz="8" w:space="2" w:color="2E75B6"/>
        </w:pBdr>
      </w:pPr>
      <w:r>
        <w:lastRenderedPageBreak/>
        <w:t>4. Anchoring in Prior Models</w:t>
      </w:r>
    </w:p>
    <w:p w14:paraId="510AD64D" w14:textId="77777777" w:rsidR="00196673" w:rsidRDefault="00000000">
      <w:pPr>
        <w:jc w:val="both"/>
      </w:pPr>
      <w:r>
        <w:rPr>
          <w:i/>
        </w:rPr>
        <w:t>Wibbens and Kretschmer: The editorial endorses importing modeling frameworks from outside management. Makadok (2022) provides the operational guidance for making formal models accessible to AMR’s general audience.</w:t>
      </w:r>
    </w:p>
    <w:p w14:paraId="27CC2735" w14:textId="77777777" w:rsidR="00196673" w:rsidRDefault="00000000">
      <w:pPr>
        <w:pStyle w:val="Heading2"/>
      </w:pPr>
      <w:r>
        <w:t>The Physics Lineage</w:t>
      </w:r>
    </w:p>
    <w:p w14:paraId="5E08F0EC" w14:textId="77777777" w:rsidR="00196673" w:rsidRDefault="00000000">
      <w:pPr>
        <w:jc w:val="both"/>
      </w:pPr>
      <w:r>
        <w:t>The anchoring in Landau normal forms, Haken’s synergetics, and the Curie-Weiss mean-field tradition follows exactly the pattern the editorial endorses. These are not analogies. They are formal tools applied to a social ontology grounded in the socioeconomic situation of human agents.</w:t>
      </w:r>
    </w:p>
    <w:p w14:paraId="180F7151" w14:textId="77777777" w:rsidR="00196673" w:rsidRDefault="00000000">
      <w:pPr>
        <w:jc w:val="both"/>
      </w:pPr>
      <w:r>
        <w:t>Haken’s synergetics provides formal warrant for the entire cascade architecture—order parameters emerging from control parameters via symmetry-breaking, the slaving principle, and the derivation of macro-order from micro-interactions without a controller. The cybernetics-vs-synergetics distinction maps directly onto the theory’s exclusion of optimization and decision-making frameworks. Haken’s formal machinery (symmetry-breaking, normal form justification, slaving) is general and covers both bifurcations equally, since both are supercritical pitchforks of the same mathematical class. His specific physical examples (lasers, Bénard cells) illustrate the first emergence of order from disorder most directly. The second bifurcation uses the same formal class but extends beyond Haken’s illustrative scope into territory the theory claims as its own contribution.</w:t>
      </w:r>
    </w:p>
    <w:p w14:paraId="237AF344" w14:textId="77777777" w:rsidR="00196673" w:rsidRDefault="00000000">
      <w:pPr>
        <w:pStyle w:val="Heading2"/>
      </w:pPr>
      <w:r>
        <w:t>Philosophical Authorities</w:t>
      </w:r>
    </w:p>
    <w:p w14:paraId="3ED32C14" w14:textId="77777777" w:rsidR="00196673" w:rsidRDefault="00000000">
      <w:pPr>
        <w:jc w:val="both"/>
      </w:pPr>
      <w:r>
        <w:t>These are not decorative citations; they provide the philosophical backbone for choices a reviewer might challenge:</w:t>
      </w:r>
    </w:p>
    <w:p w14:paraId="464ED3D5" w14:textId="77777777" w:rsidR="00196673" w:rsidRDefault="00000000">
      <w:pPr>
        <w:jc w:val="both"/>
      </w:pPr>
      <w:r>
        <w:rPr>
          <w:b/>
        </w:rPr>
        <w:t xml:space="preserve">Archer </w:t>
      </w:r>
      <w:r>
        <w:t>(Realist Social Theory, 1995, Chs. 3 and 5–7): Structure as terrain pre-existing agents; analytical dualism. Archer’s morphogenetic approach—structures pre-exist agents’ encounters with them—is the most directly citable warrant for the treatment of (v, c, r) as conditions agents encounter.</w:t>
      </w:r>
    </w:p>
    <w:p w14:paraId="592160AE" w14:textId="77777777" w:rsidR="00196673" w:rsidRDefault="00000000">
      <w:pPr>
        <w:jc w:val="both"/>
      </w:pPr>
      <w:r>
        <w:rPr>
          <w:b/>
        </w:rPr>
        <w:t xml:space="preserve">Lakatos </w:t>
      </w:r>
      <w:r>
        <w:t>(1970): Progressive research programmes. The theory situates existing paradigms rather than replacing them. Philosophical warrant for the “situating, never replacing” positioning strategy.</w:t>
      </w:r>
    </w:p>
    <w:p w14:paraId="7086C5EE" w14:textId="77777777" w:rsidR="00196673" w:rsidRDefault="00000000">
      <w:pPr>
        <w:jc w:val="both"/>
      </w:pPr>
      <w:r>
        <w:rPr>
          <w:b/>
        </w:rPr>
        <w:t xml:space="preserve">Van Fraassen </w:t>
      </w:r>
      <w:r>
        <w:t>(The Scientific Image, 1980, Ch. 2): Constructive empiricism—theory should commit only to observables. The theory’s refusal to posit agent interiority is almost textbook van Fraassen.</w:t>
      </w:r>
    </w:p>
    <w:p w14:paraId="7D6429AD" w14:textId="77777777" w:rsidR="00196673" w:rsidRDefault="00000000">
      <w:pPr>
        <w:jc w:val="both"/>
      </w:pPr>
      <w:r>
        <w:rPr>
          <w:b/>
        </w:rPr>
        <w:t xml:space="preserve">Bunge </w:t>
      </w:r>
      <w:r>
        <w:t>(Social Science under Debate, 1998): Formal mathematical structure for social phenomena; critique of rational choice.</w:t>
      </w:r>
    </w:p>
    <w:p w14:paraId="069FD98C" w14:textId="77777777" w:rsidR="00196673" w:rsidRDefault="00000000">
      <w:pPr>
        <w:jc w:val="both"/>
      </w:pPr>
      <w:r>
        <w:lastRenderedPageBreak/>
        <w:t>The manuscript’s strongest citable pair is Lakatos (situating-not-replacing) plus Archer (structural conditions as conditions pre-existing agents). Recommended reading: Archer Chs. 3 and 5 → Lakatos → van Fraassen Ch. 2.</w:t>
      </w:r>
    </w:p>
    <w:p w14:paraId="3D69818A" w14:textId="77777777" w:rsidR="00196673" w:rsidRDefault="00000000">
      <w:pPr>
        <w:pStyle w:val="Heading2"/>
      </w:pPr>
      <w:r>
        <w:t>Makadok (2022): The AMR Roadmap for Formal Theory</w:t>
      </w:r>
    </w:p>
    <w:p w14:paraId="139B4F05" w14:textId="77777777" w:rsidR="00196673" w:rsidRDefault="00000000">
      <w:pPr>
        <w:jc w:val="both"/>
      </w:pPr>
      <w:r>
        <w:t>Makadok’s editorial “Guidance for AMR Authors About Making Formal Theory Accessible” (AMR, 2022, Vol. 47, No. 2, pp. 193–205) is the operational manual for how Phil should structure the manuscript. It should be engaged directly, cited, and demonstrably followed.</w:t>
      </w:r>
    </w:p>
    <w:p w14:paraId="48333C05" w14:textId="77777777" w:rsidR="00196673" w:rsidRDefault="00000000">
      <w:pPr>
        <w:pStyle w:val="Heading3"/>
      </w:pPr>
      <w:r>
        <w:t>The Core Distinction: Model as Input, Not Output</w:t>
      </w:r>
    </w:p>
    <w:p w14:paraId="70927769" w14:textId="77777777" w:rsidR="00196673" w:rsidRDefault="00000000">
      <w:pPr>
        <w:jc w:val="both"/>
      </w:pPr>
      <w:r>
        <w:t>In a typical AMR “boxes and arrows” paper, propositions are inputs assembled into a flowchart (the output). In a formal theory paper, the model is the input and the propositions are the outputs—logically derived from the mathematical structure. The manuscript must prepare the reader for this inversion early.</w:t>
      </w:r>
    </w:p>
    <w:p w14:paraId="3DFBF10E" w14:textId="77777777" w:rsidR="00196673" w:rsidRDefault="00000000">
      <w:pPr>
        <w:pStyle w:val="Heading3"/>
      </w:pPr>
      <w:r>
        <w:t>Three Solutions: Verbalization, Concretization, Visualization</w:t>
      </w:r>
    </w:p>
    <w:p w14:paraId="055B6DF2" w14:textId="77777777" w:rsidR="00196673" w:rsidRDefault="00000000">
      <w:pPr>
        <w:jc w:val="both"/>
      </w:pPr>
      <w:r>
        <w:rPr>
          <w:b/>
        </w:rPr>
        <w:t xml:space="preserve">Verbalization </w:t>
      </w:r>
      <w:r>
        <w:t>(labels, explanations). The participation narrative, the six-vantage-point explication, and the Regime II vs. III distinction stated in plain prose. Makadok’s specific recommendation: the introduction should foreshadow the model’s assumptions, causal logic, and conclusions so that by the time the formal assumptions appear, they seem self-evident. Verbal explanations accompanying each equation should be so clear a reader can skip the equations and still follow the logic. Derivations belong in the appendix.</w:t>
      </w:r>
    </w:p>
    <w:p w14:paraId="1F9597CF" w14:textId="77777777" w:rsidR="00196673" w:rsidRDefault="00000000">
      <w:pPr>
        <w:jc w:val="both"/>
      </w:pPr>
      <w:r>
        <w:rPr>
          <w:b/>
        </w:rPr>
        <w:t xml:space="preserve">Concretization </w:t>
      </w:r>
      <w:r>
        <w:t>(anecdotes, examples, motivating cases). The beach metaphor, the piercing geometry, the CO.LAB story, the stress-test scenarios (angel investor, coffee shop, ecosystem journalist), and the Chattanooga experience. Makadok calls the richest of these “conceptual narratives.” The Regime II experience—a community with lots of startups but no self-reproducing ecosystem—is a natural conceptual narrative every practitioner will recognize. The stress-test scenarios serve the function Makadok recommends for clarifying assumptions through concrete cases.</w:t>
      </w:r>
    </w:p>
    <w:p w14:paraId="48EDB132" w14:textId="77777777" w:rsidR="00196673" w:rsidRDefault="00000000">
      <w:pPr>
        <w:jc w:val="both"/>
      </w:pPr>
      <w:r>
        <w:rPr>
          <w:b/>
        </w:rPr>
        <w:t xml:space="preserve">Visualization </w:t>
      </w:r>
      <w:r>
        <w:t>(figures, graphs, tables). The three-regime simulation plot, the notation reference table above, and a cascade flowchart (Λ → ρ → μ → Ψ with Q feeding back). Makadok recommends a parameter table with every symbol, its definition, and its value range—which the notation reference in this document provides.</w:t>
      </w:r>
    </w:p>
    <w:p w14:paraId="61B3B290" w14:textId="77777777" w:rsidR="00196673" w:rsidRDefault="00000000">
      <w:pPr>
        <w:pStyle w:val="Heading3"/>
      </w:pPr>
      <w:r>
        <w:t>The Assumptions Challenge</w:t>
      </w:r>
    </w:p>
    <w:p w14:paraId="45D631A1" w14:textId="77777777" w:rsidR="00196673" w:rsidRDefault="00000000">
      <w:pPr>
        <w:jc w:val="both"/>
      </w:pPr>
      <w:r>
        <w:rPr>
          <w:b/>
        </w:rPr>
        <w:t xml:space="preserve">Omissions (Makadok Type 1). </w:t>
      </w:r>
      <w:r>
        <w:t>The theory omits spatial structure, network topology, agent heterogeneity, and cognition. Each is a mean-field averaging choice. The manuscript must distinguish these as simplifying assumptions made for tractability, not essential assumptions required for the conclusions.</w:t>
      </w:r>
    </w:p>
    <w:p w14:paraId="453AB5DE" w14:textId="77777777" w:rsidR="00196673" w:rsidRDefault="00000000">
      <w:pPr>
        <w:jc w:val="both"/>
      </w:pPr>
      <w:r>
        <w:rPr>
          <w:b/>
        </w:rPr>
        <w:lastRenderedPageBreak/>
        <w:t xml:space="preserve">Independent parameters (Makadok Type 4). </w:t>
      </w:r>
      <w:r>
        <w:t>Reviewers will argue v, c, and r are entangled. The response: empirical correlation via shared macro-state driving is not structural dependence. Q(ρ, Ψ) architecturally enforces independence. This must be stated proactively.</w:t>
      </w:r>
    </w:p>
    <w:p w14:paraId="785FF151" w14:textId="77777777" w:rsidR="00196673" w:rsidRDefault="00000000">
      <w:pPr>
        <w:jc w:val="both"/>
      </w:pPr>
      <w:r>
        <w:rPr>
          <w:b/>
        </w:rPr>
        <w:t xml:space="preserve">Open functional forms (Makadok Type 6). </w:t>
      </w:r>
      <w:r>
        <w:t>The deliberately unspecified forms of μ(ρ), Q, and F may alarm readers expecting a closed model. These are intentional absorption points, not gaps. The architecture is the contribution; the open forms are the research agenda the architecture makes possible.</w:t>
      </w:r>
    </w:p>
    <w:p w14:paraId="13B9B14E" w14:textId="77777777" w:rsidR="00196673" w:rsidRDefault="00000000">
      <w:pPr>
        <w:pStyle w:val="Heading3"/>
      </w:pPr>
      <w:r>
        <w:t>Empirical Implications as a Deliverable</w:t>
      </w:r>
    </w:p>
    <w:p w14:paraId="55D3C0FF" w14:textId="77777777" w:rsidR="00196673" w:rsidRDefault="00000000">
      <w:pPr>
        <w:jc w:val="both"/>
      </w:pPr>
      <w:r>
        <w:t>Makadok: “If a modeler has nothing to say about empirical implications, this may be a bad sign about the model’s usefulness.” The theory has strong empirical implications—the Regime II/III divergence is testable, path dependence via Q is measurable, the three-base participation requirement generates observable predictions. The manuscript should include a concrete empirical implications section.</w:t>
      </w:r>
    </w:p>
    <w:p w14:paraId="379FD14D" w14:textId="77777777" w:rsidR="00196673" w:rsidRDefault="00000000">
      <w:pPr>
        <w:pStyle w:val="Heading3"/>
      </w:pPr>
      <w:r>
        <w:t>The “Why a Model?” Paragraph</w:t>
      </w:r>
    </w:p>
    <w:p w14:paraId="092D4893" w14:textId="77777777" w:rsidR="00196673" w:rsidRDefault="00000000">
      <w:pPr>
        <w:jc w:val="both"/>
      </w:pPr>
      <w:r>
        <w:t>Makadok recommends the introduction include an explicit paragraph on why a formal model is needed. The answer: the distinction between activation and coherence cannot be derived verbally. Verbal theorizing collapses this distinction because ordinary language does not naturally separate “lots of activity” from “self-reproducing ecosystem.” The two-stage cascade is the minimum formal apparatus required to hold them apart. That is the model’s raison d’être.</w:t>
      </w:r>
    </w:p>
    <w:p w14:paraId="2945DB76" w14:textId="77777777" w:rsidR="00196673" w:rsidRDefault="00000000">
      <w:r>
        <w:br w:type="page"/>
      </w:r>
    </w:p>
    <w:p w14:paraId="78011036" w14:textId="77777777" w:rsidR="00196673" w:rsidRDefault="00000000">
      <w:pPr>
        <w:pStyle w:val="Heading1"/>
        <w:pBdr>
          <w:bottom w:val="single" w:sz="8" w:space="2" w:color="2E75B6"/>
        </w:pBdr>
      </w:pPr>
      <w:r>
        <w:lastRenderedPageBreak/>
        <w:t>5. Expositional Clarity</w:t>
      </w:r>
    </w:p>
    <w:p w14:paraId="5BD7D95B" w14:textId="77777777" w:rsidR="00196673" w:rsidRDefault="00000000">
      <w:pPr>
        <w:jc w:val="both"/>
      </w:pPr>
      <w:r>
        <w:rPr>
          <w:i/>
        </w:rPr>
        <w:t>Wibbens and Kretschmer: Self-contained figures whose key insights can be grasped without reading the surrounding prose.</w:t>
      </w:r>
    </w:p>
    <w:p w14:paraId="02BA6E13" w14:textId="77777777" w:rsidR="00196673" w:rsidRDefault="00000000">
      <w:pPr>
        <w:pStyle w:val="Heading2"/>
      </w:pPr>
      <w:r>
        <w:t>The Beach Metaphor and Piercing Geometry</w:t>
      </w:r>
    </w:p>
    <w:p w14:paraId="451D859A" w14:textId="77777777" w:rsidR="00196673" w:rsidRDefault="00000000">
      <w:pPr>
        <w:jc w:val="both"/>
      </w:pPr>
      <w:r>
        <w:rPr>
          <w:b/>
        </w:rPr>
        <w:t xml:space="preserve">The piercing geometry </w:t>
      </w:r>
      <w:r>
        <w:t>provides the precise conceptual framework. The action stream is a continuous curve in the full-dimensional socioeconomic milieu. The participation space is a lower-dimensional surface. Participation occurs where the curve pierces the surface. The discontinuity is inevitable: it is the intersection of two continuous objects.</w:t>
      </w:r>
    </w:p>
    <w:p w14:paraId="189B2F5B" w14:textId="77777777" w:rsidR="00196673" w:rsidRDefault="00000000">
      <w:pPr>
        <w:jc w:val="both"/>
      </w:pPr>
      <w:r>
        <w:rPr>
          <w:b/>
        </w:rPr>
        <w:t xml:space="preserve">The beach metaphor </w:t>
      </w:r>
      <w:r>
        <w:t>provides the intuitive image. The surf rolls over your legs, then recedes. You haven’t moved. The tide is Q on longer timescales. Coherence is the tide coming in far enough that many people are simultaneously and persistently covered.</w:t>
      </w:r>
    </w:p>
    <w:p w14:paraId="14746857" w14:textId="77777777" w:rsidR="00196673" w:rsidRDefault="00000000">
      <w:pPr>
        <w:jc w:val="both"/>
      </w:pPr>
      <w:r>
        <w:t>Each metaphor illuminates one thing well and should be retired before it is stretched beyond its scope.</w:t>
      </w:r>
    </w:p>
    <w:p w14:paraId="50D38083" w14:textId="77777777" w:rsidR="00196673" w:rsidRDefault="00000000">
      <w:pPr>
        <w:pStyle w:val="Heading2"/>
      </w:pPr>
      <w:r>
        <w:t>The Pedagogical Strategy</w:t>
      </w:r>
    </w:p>
    <w:p w14:paraId="5CF5F030" w14:textId="77777777" w:rsidR="00196673" w:rsidRDefault="00000000">
      <w:pPr>
        <w:jc w:val="both"/>
      </w:pPr>
      <w:r>
        <w:t>Unfamiliar terms foreshadow their own introduction; already-introduced concepts reappear in new light. The equations should feel inevitable when they arrive. Lead with the Regime II vs. III distinction, then provide the architecture that produces it.</w:t>
      </w:r>
    </w:p>
    <w:p w14:paraId="620C5008" w14:textId="77777777" w:rsidR="00196673" w:rsidRDefault="00000000">
      <w:pPr>
        <w:pStyle w:val="Heading2"/>
      </w:pPr>
      <w:r>
        <w:t>The Three-Regime Visualization</w:t>
      </w:r>
    </w:p>
    <w:p w14:paraId="0D6720A5" w14:textId="77777777" w:rsidR="00196673" w:rsidRDefault="00000000">
      <w:pPr>
        <w:jc w:val="both"/>
      </w:pPr>
      <w:r>
        <w:t>The MFA simulation has produced the three-regime visualization: structural conduciveness evolution with S-curve saturation (top panel), activation density ρ lifting off in a supercritical pitchfork (middle panel), and coherence Ψ emerging in the second pitchfork (bottom panel). This belongs in the main text.</w:t>
      </w:r>
    </w:p>
    <w:p w14:paraId="485C1655" w14:textId="77777777" w:rsidR="00196673" w:rsidRDefault="00000000">
      <w:pPr>
        <w:pStyle w:val="Heading2"/>
      </w:pPr>
      <w:r>
        <w:t>The Letter to Phil on Bases and the Editorial</w:t>
      </w:r>
    </w:p>
    <w:p w14:paraId="0FD1A428" w14:textId="77777777" w:rsidR="00196673" w:rsidRDefault="00000000">
      <w:pPr>
        <w:jc w:val="both"/>
      </w:pPr>
      <w:r>
        <w:t>On April 14, Claude and Mike produced a comprehensive response to Phil’s questions about base independence and the homeostatic imperative, combined with an assessment against the Wibbens and Kretschmer five essentials. One correction was required between first and second send: language drifted toward phrasing that broke the action-not-decision constraint. Mike caught this, corrected it, and re-sent.</w:t>
      </w:r>
    </w:p>
    <w:p w14:paraId="78934DDF" w14:textId="77777777" w:rsidR="00196673" w:rsidRDefault="00000000">
      <w:r>
        <w:br w:type="page"/>
      </w:r>
    </w:p>
    <w:p w14:paraId="461F5ED2" w14:textId="77777777" w:rsidR="00196673" w:rsidRDefault="00000000">
      <w:pPr>
        <w:pStyle w:val="Heading1"/>
        <w:pBdr>
          <w:bottom w:val="single" w:sz="8" w:space="2" w:color="2E75B6"/>
        </w:pBdr>
      </w:pPr>
      <w:r>
        <w:lastRenderedPageBreak/>
        <w:t>6. Candidates for v1.2</w:t>
      </w:r>
    </w:p>
    <w:p w14:paraId="3C856D0A" w14:textId="77777777" w:rsidR="00196673" w:rsidRDefault="00000000">
      <w:pPr>
        <w:jc w:val="both"/>
      </w:pPr>
      <w:r>
        <w:t>The following items emerged as candidates for incorporation into a v1.2 update. None have been committed. All require discussion with the full AI team.</w:t>
      </w:r>
    </w:p>
    <w:p w14:paraId="65B4EECC" w14:textId="77777777" w:rsidR="00196673" w:rsidRDefault="00000000">
      <w:pPr>
        <w:jc w:val="both"/>
      </w:pPr>
      <w:r>
        <w:rPr>
          <w:b/>
        </w:rPr>
        <w:t xml:space="preserve">Saturated Q with carrying capacities — now classified as architectural (cross-validated). </w:t>
      </w:r>
      <w:r>
        <w:t>Following Gemini’s assessment: the presence of a saturation mechanism on Q is an architectural requirement, not a parametric convenience. Structural bases describe conditions in a bounded socioeconomic milieu; unbounded growth of any base is structurally meaningless. The specific numerical values of v_max and r_max are parametric and will vary across ecosystems. But any admissible functional form for Q must produce bounded base evolution — through saturation, diminishing returns, or equivalent mechanisms. Logistic saturation is one admissible realization, not the only one. This is an ontological constraint on Q, not a commitment to a specific functional form.</w:t>
      </w:r>
    </w:p>
    <w:p w14:paraId="693A03F7" w14:textId="77777777" w:rsidR="00196673" w:rsidRDefault="00000000">
      <w:pPr>
        <w:jc w:val="both"/>
      </w:pPr>
      <w:r>
        <w:rPr>
          <w:b/>
        </w:rPr>
        <w:t xml:space="preserve">The participation passage. </w:t>
      </w:r>
      <w:r>
        <w:t>The agreed language defining ℘ = (v, c, r) with ordinal/relative position language may warrant inclusion in the Structural State Space section.</w:t>
      </w:r>
    </w:p>
    <w:p w14:paraId="71B6FE3C" w14:textId="77777777" w:rsidR="00196673" w:rsidRDefault="00000000">
      <w:pPr>
        <w:jc w:val="both"/>
      </w:pPr>
      <w:r>
        <w:rPr>
          <w:b/>
        </w:rPr>
        <w:t xml:space="preserve">Base independence as architectural product. </w:t>
      </w:r>
      <w:r>
        <w:t>The elucidation that Q(ρ, Ψ) enforces independence is implicit in v1.1 but could be made explicit. Classified as elucidation.</w:t>
      </w:r>
    </w:p>
    <w:p w14:paraId="14442608" w14:textId="77777777" w:rsidR="00196673" w:rsidRDefault="00000000">
      <w:pPr>
        <w:jc w:val="both"/>
      </w:pPr>
      <w:r>
        <w:rPr>
          <w:b/>
        </w:rPr>
        <w:t xml:space="preserve">Structural conduciveness replacing terrain favorability. </w:t>
      </w:r>
      <w:r>
        <w:t>Vocabulary revision, not architectural revision. Λ = F(v, c, r) does not change. The English label changes to remove evaluative and spatial connotations. Recommended for v1.2.</w:t>
      </w:r>
    </w:p>
    <w:p w14:paraId="1573B97B" w14:textId="77777777" w:rsidR="00196673" w:rsidRDefault="00000000">
      <w:pPr>
        <w:jc w:val="both"/>
      </w:pPr>
      <w:r>
        <w:rPr>
          <w:b/>
        </w:rPr>
        <w:t xml:space="preserve">The Damasio demotion. </w:t>
      </w:r>
      <w:r>
        <w:t>Whether to revise the Ontological Grounding section to explicitly separate the Damasio genealogy from the formal apparatus, or leave this as a manuscript-level language choice.</w:t>
      </w:r>
    </w:p>
    <w:p w14:paraId="139F5C7B" w14:textId="77777777" w:rsidR="00196673" w:rsidRDefault="00000000">
      <w:r>
        <w:br w:type="page"/>
      </w:r>
    </w:p>
    <w:p w14:paraId="63ABA862" w14:textId="77777777" w:rsidR="00196673" w:rsidRDefault="00000000">
      <w:pPr>
        <w:pStyle w:val="Heading1"/>
        <w:pBdr>
          <w:bottom w:val="single" w:sz="8" w:space="2" w:color="2E75B6"/>
        </w:pBdr>
      </w:pPr>
      <w:r>
        <w:lastRenderedPageBreak/>
        <w:t>7. Inventory of Sessions and Chat Links</w:t>
      </w:r>
    </w:p>
    <w:p w14:paraId="4B679F4D" w14:textId="77777777" w:rsidR="00196673" w:rsidRDefault="00000000">
      <w:pPr>
        <w:jc w:val="both"/>
      </w:pPr>
      <w:r>
        <w:t>The following conversations contributed to this document, listed in approximate chronological order.</w:t>
      </w:r>
    </w:p>
    <w:p w14:paraId="615735CC" w14:textId="77777777" w:rsidR="00196673" w:rsidRDefault="00000000">
      <w:pPr>
        <w:jc w:val="both"/>
      </w:pPr>
      <w:r>
        <w:rPr>
          <w:b/>
        </w:rPr>
        <w:t xml:space="preserve">EE Research Project Memory </w:t>
      </w:r>
      <w:r>
        <w:t>(April 3): Foundation session. Phil’s direct questions, the ontological correction (action not decision), letter to Phil, the Opportunity literature mapping, research design for follow-up paper.</w:t>
      </w:r>
    </w:p>
    <w:p w14:paraId="69B7B15E" w14:textId="77777777" w:rsidR="00196673" w:rsidRDefault="00000000">
      <w:pPr>
        <w:jc w:val="both"/>
      </w:pPr>
      <w:r>
        <w:rPr>
          <w:b/>
        </w:rPr>
        <w:t xml:space="preserve">Opportunity Paradigm and Entrepreneurship Literature Structure </w:t>
      </w:r>
      <w:r>
        <w:t>(April 3): Discovery/creation mapping onto the cascade, narrative compression as μ(ρ) candidate, six journal calls identified.</w:t>
      </w:r>
    </w:p>
    <w:p w14:paraId="471C5052" w14:textId="77777777" w:rsidR="00196673" w:rsidRDefault="00000000">
      <w:pPr>
        <w:jc w:val="both"/>
      </w:pPr>
      <w:r>
        <w:rPr>
          <w:b/>
        </w:rPr>
        <w:t xml:space="preserve">Participation and ℘ in Manuscript Space </w:t>
      </w:r>
      <w:r>
        <w:t>(April 6–7): The primary participation session. Piercing geometry, beach metaphor, base drift and correction, stress tests, feedback function g and α, six-vantage-point explication.</w:t>
      </w:r>
    </w:p>
    <w:p w14:paraId="24422638" w14:textId="77777777" w:rsidR="00196673" w:rsidRDefault="00000000">
      <w:pPr>
        <w:jc w:val="both"/>
      </w:pPr>
      <w:r>
        <w:rPr>
          <w:b/>
        </w:rPr>
        <w:t xml:space="preserve">Lake Vision Finds Formal Resolution </w:t>
      </w:r>
      <w:r>
        <w:t>(April 7): Quasi-particle interpretation, NotebookLM conformity check, σ/δ split caught and corrected.</w:t>
      </w:r>
    </w:p>
    <w:p w14:paraId="18C0F050" w14:textId="77777777" w:rsidR="00196673" w:rsidRDefault="00000000">
      <w:pPr>
        <w:jc w:val="both"/>
      </w:pPr>
      <w:r>
        <w:rPr>
          <w:b/>
        </w:rPr>
        <w:t xml:space="preserve">Comprehensive Report on Four Days </w:t>
      </w:r>
      <w:r>
        <w:t>(April 8): Synthesis of April 6–7 work, the agreed participation space passage.</w:t>
      </w:r>
    </w:p>
    <w:p w14:paraId="3CCFE8DB" w14:textId="77777777" w:rsidR="00196673" w:rsidRDefault="00000000">
      <w:pPr>
        <w:jc w:val="both"/>
      </w:pPr>
      <w:r>
        <w:rPr>
          <w:b/>
        </w:rPr>
        <w:t xml:space="preserve">Critiquing Gemini’s Manuscript Narrative Positioning </w:t>
      </w:r>
      <w:r>
        <w:t>(April 10): Caught Gemini violations. μ(ρ) braiding/stitching exploration. ρ_c notation risk identified.</w:t>
      </w:r>
    </w:p>
    <w:p w14:paraId="0F24F174" w14:textId="77777777" w:rsidR="00196673" w:rsidRDefault="00000000">
      <w:pPr>
        <w:jc w:val="both"/>
      </w:pPr>
      <w:r>
        <w:rPr>
          <w:b/>
        </w:rPr>
        <w:t xml:space="preserve">Ontology of Encountered Conditions </w:t>
      </w:r>
      <w:r>
        <w:t>(April 11): “Conditions as encountered” refined. Prigogine guardrail. “Autocatalytic” struck. Narrative compression located within μ(ρ).</w:t>
      </w:r>
    </w:p>
    <w:p w14:paraId="174FA518" w14:textId="77777777" w:rsidR="00196673" w:rsidRDefault="00000000">
      <w:pPr>
        <w:jc w:val="both"/>
      </w:pPr>
      <w:r>
        <w:rPr>
          <w:b/>
        </w:rPr>
        <w:t xml:space="preserve">New Chat Organization and Access </w:t>
      </w:r>
      <w:r>
        <w:t>(April 11–12): Hysteresis resolution with Gemini. Path dependence via Q committed. v1.1 produced. Simulation validation.</w:t>
      </w:r>
    </w:p>
    <w:p w14:paraId="657D34CD" w14:textId="77777777" w:rsidR="00196673" w:rsidRDefault="00000000">
      <w:pPr>
        <w:jc w:val="both"/>
      </w:pPr>
      <w:r>
        <w:rPr>
          <w:b/>
        </w:rPr>
        <w:t xml:space="preserve">Theoretical Foundations and Philosophical Authority </w:t>
      </w:r>
      <w:r>
        <w:t>(April 12–13): Archer, Lakatos, van Fraassen reading list. Davidsson/Q connection. Base independence elucidation. Successful MFA simulation with parametric interpolation.</w:t>
      </w:r>
    </w:p>
    <w:p w14:paraId="0F5F8753" w14:textId="77777777" w:rsidR="00196673" w:rsidRDefault="00000000">
      <w:pPr>
        <w:jc w:val="both"/>
      </w:pPr>
      <w:r>
        <w:rPr>
          <w:b/>
        </w:rPr>
        <w:t xml:space="preserve">Understanding Independence </w:t>
      </w:r>
      <w:r>
        <w:t>(April 14): Phil’s base-blending questions. Comprehensive response. Wibbens and Kretschmer editorial assessment. Letter to Phil. Damasio paragraph cut.</w:t>
      </w:r>
    </w:p>
    <w:p w14:paraId="5ED72F60" w14:textId="77777777" w:rsidR="00196673" w:rsidRDefault="00000000">
      <w:pPr>
        <w:jc w:val="both"/>
      </w:pPr>
      <w:r>
        <w:rPr>
          <w:b/>
        </w:rPr>
        <w:t xml:space="preserve">Companion Document Production and Revision </w:t>
      </w:r>
      <w:r>
        <w:t>(April 15): This document. Notation reference table. “Baked in” defense. Structural conduciveness replacing terrain favorability. ChatGPT review incorporated. Haken scope corrected.</w:t>
      </w:r>
    </w:p>
    <w:p w14:paraId="004166DF" w14:textId="77777777" w:rsidR="00196673" w:rsidRDefault="00000000">
      <w:r>
        <w:br w:type="page"/>
      </w:r>
    </w:p>
    <w:p w14:paraId="68142930" w14:textId="77777777" w:rsidR="00196673" w:rsidRDefault="00000000">
      <w:pPr>
        <w:pStyle w:val="Heading1"/>
        <w:pBdr>
          <w:bottom w:val="single" w:sz="8" w:space="2" w:color="2E75B6"/>
        </w:pBdr>
      </w:pPr>
      <w:r>
        <w:lastRenderedPageBreak/>
        <w:t>8. Standing Vocabulary Quarantine</w:t>
      </w:r>
    </w:p>
    <w:p w14:paraId="687D0EC6" w14:textId="77777777" w:rsidR="00196673" w:rsidRDefault="00000000">
      <w:pPr>
        <w:jc w:val="both"/>
      </w:pPr>
      <w:r>
        <w:t>The following terms have been struck from the project vocabulary or flagged for caution.</w:t>
      </w:r>
    </w:p>
    <w:p w14:paraId="20AC9F38" w14:textId="77777777" w:rsidR="00196673" w:rsidRDefault="00000000">
      <w:pPr>
        <w:jc w:val="both"/>
      </w:pPr>
      <w:r>
        <w:rPr>
          <w:b/>
        </w:rPr>
        <w:t xml:space="preserve">Struck: </w:t>
      </w:r>
      <w:r>
        <w:t>“Homeostatic agent/action stream,” “Constitution of Conditions” (as a named framework), “Invisibility Strategy” (confirmed as shorthand only), “autocatalytic” (assumes specific feedback topology), “terrain favorability” (evaluative and spatial connotations; replaced by “structural conduciveness”).</w:t>
      </w:r>
    </w:p>
    <w:p w14:paraId="1964E04B" w14:textId="77777777" w:rsidR="00196673" w:rsidRDefault="00000000">
      <w:pPr>
        <w:jc w:val="both"/>
      </w:pPr>
      <w:r>
        <w:rPr>
          <w:b/>
        </w:rPr>
        <w:t xml:space="preserve">Acceptable in prose, not in formal notation: </w:t>
      </w:r>
      <w:r>
        <w:t>“Terrain” as a general descriptor of structural conditions (e.g., “the terrain agents encounter”). “Structural conduciveness” as explanatory gloss for Λ. Both are useful for readers so long as they are clearly treated as prose, not defined terms.</w:t>
      </w:r>
    </w:p>
    <w:p w14:paraId="4DFD5285" w14:textId="77777777" w:rsidR="00196673" w:rsidRDefault="00000000">
      <w:pPr>
        <w:jc w:val="both"/>
      </w:pPr>
      <w:r>
        <w:rPr>
          <w:b/>
        </w:rPr>
        <w:t xml:space="preserve">Flagged for caution: </w:t>
      </w:r>
      <w:r>
        <w:t>“High v, low c” (treats bases as metric quantities rather than relative positions), “probability of transition” (not the theory’s language), any cognitive verbs when describing agents (“perceive,” “evaluate,” “assess,” “consider,” “decide”).</w:t>
      </w:r>
    </w:p>
    <w:p w14:paraId="0A5397C7" w14:textId="77777777" w:rsidR="00196673" w:rsidRDefault="00000000">
      <w:pPr>
        <w:jc w:val="both"/>
      </w:pPr>
      <w:r>
        <w:rPr>
          <w:b/>
        </w:rPr>
        <w:t xml:space="preserve">Correct usage: </w:t>
      </w:r>
      <w:r>
        <w:t>“Conditions as encountered,” “structural conduciveness,” “action stream,” “projection onto structural bases,” “configuration” (not “position”), “the point(s) at which μ(ρ) = 0” (not “ρ_c” or “μ changes sign at ρ = ρ_c”).</w:t>
      </w:r>
    </w:p>
    <w:p w14:paraId="43F27081" w14:textId="77777777" w:rsidR="00196673" w:rsidRDefault="00000000">
      <w:pPr>
        <w:jc w:val="both"/>
      </w:pPr>
      <w:r>
        <w:rPr>
          <w:i/>
        </w:rPr>
        <w:t>— End of Document —</w:t>
      </w:r>
    </w:p>
    <w:sectPr w:rsidR="0019667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7B81" w14:textId="77777777" w:rsidR="00936A32" w:rsidRDefault="00936A32">
      <w:pPr>
        <w:spacing w:after="0" w:line="240" w:lineRule="auto"/>
      </w:pPr>
      <w:r>
        <w:separator/>
      </w:r>
    </w:p>
  </w:endnote>
  <w:endnote w:type="continuationSeparator" w:id="0">
    <w:p w14:paraId="5F7D9697" w14:textId="77777777" w:rsidR="00936A32" w:rsidRDefault="00936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F740" w14:textId="77777777" w:rsidR="00196673" w:rsidRDefault="00000000">
    <w:pPr>
      <w:pStyle w:val="Footer"/>
      <w:jc w:val="center"/>
    </w:pPr>
    <w:r>
      <w:rPr>
        <w:color w:val="808080"/>
        <w:sz w:val="18"/>
      </w:rPr>
      <w:t>Companion to State of the Theory v1.1 (Final Revised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396D" w14:textId="77777777" w:rsidR="00936A32" w:rsidRDefault="00936A32">
      <w:pPr>
        <w:spacing w:after="0" w:line="240" w:lineRule="auto"/>
      </w:pPr>
      <w:r>
        <w:separator/>
      </w:r>
    </w:p>
  </w:footnote>
  <w:footnote w:type="continuationSeparator" w:id="0">
    <w:p w14:paraId="2B5D525F" w14:textId="77777777" w:rsidR="00936A32" w:rsidRDefault="00936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784071">
    <w:abstractNumId w:val="8"/>
  </w:num>
  <w:num w:numId="2" w16cid:durableId="1261452893">
    <w:abstractNumId w:val="6"/>
  </w:num>
  <w:num w:numId="3" w16cid:durableId="597064010">
    <w:abstractNumId w:val="5"/>
  </w:num>
  <w:num w:numId="4" w16cid:durableId="561137706">
    <w:abstractNumId w:val="4"/>
  </w:num>
  <w:num w:numId="5" w16cid:durableId="894505295">
    <w:abstractNumId w:val="7"/>
  </w:num>
  <w:num w:numId="6" w16cid:durableId="1488936829">
    <w:abstractNumId w:val="3"/>
  </w:num>
  <w:num w:numId="7" w16cid:durableId="179899864">
    <w:abstractNumId w:val="2"/>
  </w:num>
  <w:num w:numId="8" w16cid:durableId="2101172816">
    <w:abstractNumId w:val="1"/>
  </w:num>
  <w:num w:numId="9" w16cid:durableId="145378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090"/>
    <w:rsid w:val="00196673"/>
    <w:rsid w:val="0029639D"/>
    <w:rsid w:val="00326F90"/>
    <w:rsid w:val="00684D90"/>
    <w:rsid w:val="00936A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4E362"/>
  <w14:defaultImageDpi w14:val="300"/>
  <w15:docId w15:val="{A121CA6D-27FE-4A5C-BDA1-4CEA2FA1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i/>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5578</Words>
  <Characters>33696</Characters>
  <Application>Microsoft Office Word</Application>
  <DocSecurity>0</DocSecurity>
  <Lines>624</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Roundy, Philip</cp:lastModifiedBy>
  <cp:revision>2</cp:revision>
  <dcterms:created xsi:type="dcterms:W3CDTF">2026-04-15T18:43:00Z</dcterms:created>
  <dcterms:modified xsi:type="dcterms:W3CDTF">2026-04-15T18:43:00Z</dcterms:modified>
  <cp:category/>
</cp:coreProperties>
</file>