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7424" w14:textId="71A11773" w:rsidR="009C6073" w:rsidRPr="009C6073" w:rsidRDefault="009C6073" w:rsidP="009C6073">
      <w:pPr>
        <w:spacing w:line="480" w:lineRule="auto"/>
        <w:jc w:val="center"/>
        <w:rPr>
          <w:rFonts w:ascii="Times New Roman" w:hAnsi="Times New Roman" w:cs="Times New Roman"/>
          <w:b/>
          <w:bCs/>
          <w:i/>
          <w:iCs/>
        </w:rPr>
      </w:pPr>
      <w:r w:rsidRPr="009C6073">
        <w:rPr>
          <w:rFonts w:ascii="Times New Roman" w:hAnsi="Times New Roman" w:cs="Times New Roman"/>
          <w:b/>
          <w:bCs/>
          <w:i/>
          <w:iCs/>
        </w:rPr>
        <w:t>Embedded Wireframe Explanation and Cloud System Recommendation</w:t>
      </w:r>
    </w:p>
    <w:p w14:paraId="3AC22F24"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The design focuses on creating a simple interface for Kiva borrowers using a flip phone. Because this is an embedded device with limited screen size and controls, the layout prioritizes clarity, minimal steps, and easy navigation using keypad input. Users can move through the interface using arrow keys or by pressing numbers, which improves speed and accessibility.</w:t>
      </w:r>
    </w:p>
    <w:p w14:paraId="46975C68" w14:textId="77777777" w:rsidR="009C6073" w:rsidRPr="009C6073" w:rsidRDefault="009C6073" w:rsidP="009C6073">
      <w:pPr>
        <w:spacing w:line="480" w:lineRule="auto"/>
        <w:rPr>
          <w:rFonts w:ascii="Times New Roman" w:hAnsi="Times New Roman" w:cs="Times New Roman"/>
        </w:rPr>
      </w:pPr>
    </w:p>
    <w:p w14:paraId="37C0E3F0"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 xml:space="preserve">The first screen is the landing menu and acts as the main hub. It includes four options: Apply for Loan, Loan Status, Make Payment, and Help/Contact. Each option is numbered so users can quickly select it without scrolling. The selected option is highlighted, and arrows indicate that navigation can also be done using directional </w:t>
      </w:r>
      <w:proofErr w:type="gramStart"/>
      <w:r w:rsidRPr="009C6073">
        <w:rPr>
          <w:rFonts w:ascii="Times New Roman" w:hAnsi="Times New Roman" w:cs="Times New Roman"/>
        </w:rPr>
        <w:t>buttons .</w:t>
      </w:r>
      <w:proofErr w:type="gramEnd"/>
      <w:r w:rsidRPr="009C6073">
        <w:rPr>
          <w:rFonts w:ascii="Times New Roman" w:hAnsi="Times New Roman" w:cs="Times New Roman"/>
        </w:rPr>
        <w:t xml:space="preserve"> At the bottom, the Options, OK, and Back buttons follow standard mobile design patterns, making the interface predictable and easy to use. Simple instructions are included on the screen to guide first-time users.</w:t>
      </w:r>
    </w:p>
    <w:p w14:paraId="7DF54613" w14:textId="77777777" w:rsidR="009C6073" w:rsidRPr="009C6073" w:rsidRDefault="009C6073" w:rsidP="009C6073">
      <w:pPr>
        <w:spacing w:line="480" w:lineRule="auto"/>
        <w:rPr>
          <w:rFonts w:ascii="Times New Roman" w:hAnsi="Times New Roman" w:cs="Times New Roman"/>
        </w:rPr>
      </w:pPr>
    </w:p>
    <w:p w14:paraId="458E4994"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 xml:space="preserve">The second screen displays loan status information. This includes loan amount, amount paid, remaining balance, a progress bar, and the next payment due date. The data is organized into clear sections so users can quickly understand their financial position. The progress bar provides a visual indicator of repayment, supported by a percentage value for </w:t>
      </w:r>
      <w:proofErr w:type="gramStart"/>
      <w:r w:rsidRPr="009C6073">
        <w:rPr>
          <w:rFonts w:ascii="Times New Roman" w:hAnsi="Times New Roman" w:cs="Times New Roman"/>
        </w:rPr>
        <w:t>clarity .</w:t>
      </w:r>
      <w:proofErr w:type="gramEnd"/>
      <w:r w:rsidRPr="009C6073">
        <w:rPr>
          <w:rFonts w:ascii="Times New Roman" w:hAnsi="Times New Roman" w:cs="Times New Roman"/>
        </w:rPr>
        <w:t xml:space="preserve"> A “1: PAY” option is included to allow users to </w:t>
      </w:r>
      <w:proofErr w:type="gramStart"/>
      <w:r w:rsidRPr="009C6073">
        <w:rPr>
          <w:rFonts w:ascii="Times New Roman" w:hAnsi="Times New Roman" w:cs="Times New Roman"/>
        </w:rPr>
        <w:t>take action</w:t>
      </w:r>
      <w:proofErr w:type="gramEnd"/>
      <w:r w:rsidRPr="009C6073">
        <w:rPr>
          <w:rFonts w:ascii="Times New Roman" w:hAnsi="Times New Roman" w:cs="Times New Roman"/>
        </w:rPr>
        <w:t xml:space="preserve"> directly from this screen, reducing extra steps.</w:t>
      </w:r>
    </w:p>
    <w:p w14:paraId="7EA98436" w14:textId="77777777" w:rsidR="009C6073" w:rsidRPr="009C6073" w:rsidRDefault="009C6073" w:rsidP="009C6073">
      <w:pPr>
        <w:spacing w:line="480" w:lineRule="auto"/>
        <w:rPr>
          <w:rFonts w:ascii="Times New Roman" w:hAnsi="Times New Roman" w:cs="Times New Roman"/>
        </w:rPr>
      </w:pPr>
    </w:p>
    <w:p w14:paraId="4841F677"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lastRenderedPageBreak/>
        <w:t>Navigation is consistent across both screens. The same layout structure is used, with a header at the top, content in the middle, and actions at the bottom. This consistency aligns with Android and Apple UI guidelines, which emphasize predictable and user-friendly design (Google, n.d.; Apple, n.d.). Numbered selections also improve usability for users who may not be familiar with touchscreen interfaces.</w:t>
      </w:r>
    </w:p>
    <w:p w14:paraId="25990DF8" w14:textId="77777777" w:rsidR="009C6073" w:rsidRPr="009C6073" w:rsidRDefault="009C6073" w:rsidP="009C6073">
      <w:pPr>
        <w:spacing w:line="480" w:lineRule="auto"/>
        <w:rPr>
          <w:rFonts w:ascii="Times New Roman" w:hAnsi="Times New Roman" w:cs="Times New Roman"/>
        </w:rPr>
      </w:pPr>
    </w:p>
    <w:p w14:paraId="7BB9BBA8"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This design benefits borrowers by making essential tasks—applying for loans, checking status, and making payments—quick and easy. It removes unnecessary complexity and focuses only on core features. This is important for Kiva’s audience, who may rely on basic devices and limited connectivity. At the same time, the design supports Kiva’s goals by improving user engagement and helping borrowers stay on track with payments.</w:t>
      </w:r>
    </w:p>
    <w:p w14:paraId="1F6110B2" w14:textId="77777777" w:rsidR="009C6073" w:rsidRPr="009C6073" w:rsidRDefault="009C6073" w:rsidP="009C6073">
      <w:pPr>
        <w:spacing w:line="480" w:lineRule="auto"/>
        <w:rPr>
          <w:rFonts w:ascii="Times New Roman" w:hAnsi="Times New Roman" w:cs="Times New Roman"/>
        </w:rPr>
      </w:pPr>
    </w:p>
    <w:p w14:paraId="69CA4F75"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For lenders, this design can be expanded into a cloud-based system. Unlike borrowers, lenders need more detailed data and typically use smartphones or computers. A cloud application would include dashboards showing loan activity, repayment trends, and borrower details. This allows lenders to make informed decisions and plan future lending.</w:t>
      </w:r>
    </w:p>
    <w:p w14:paraId="115730B2" w14:textId="77777777" w:rsidR="009C6073" w:rsidRPr="009C6073" w:rsidRDefault="009C6073" w:rsidP="009C6073">
      <w:pPr>
        <w:spacing w:line="480" w:lineRule="auto"/>
        <w:rPr>
          <w:rFonts w:ascii="Times New Roman" w:hAnsi="Times New Roman" w:cs="Times New Roman"/>
        </w:rPr>
      </w:pPr>
    </w:p>
    <w:p w14:paraId="58F3D36F"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 xml:space="preserve">To align with Kiva’s mission, the cloud system should focus on transparency and impact. Features such as borrower stories, repayment performance, and regional data would help users understand where their money is going. Communication between the borrower system and cloud platform would rely on APIs to send and receive updates such as loan status and payments. Since </w:t>
      </w:r>
      <w:r w:rsidRPr="009C6073">
        <w:rPr>
          <w:rFonts w:ascii="Times New Roman" w:hAnsi="Times New Roman" w:cs="Times New Roman"/>
        </w:rPr>
        <w:lastRenderedPageBreak/>
        <w:t>borrower devices may have limited connectivity, data should be optimized to remain lightweight and efficient.</w:t>
      </w:r>
    </w:p>
    <w:p w14:paraId="1D034110" w14:textId="77777777" w:rsidR="009C6073" w:rsidRPr="009C6073" w:rsidRDefault="009C6073" w:rsidP="009C6073">
      <w:pPr>
        <w:spacing w:line="480" w:lineRule="auto"/>
        <w:rPr>
          <w:rFonts w:ascii="Times New Roman" w:hAnsi="Times New Roman" w:cs="Times New Roman"/>
        </w:rPr>
      </w:pPr>
    </w:p>
    <w:p w14:paraId="20E3C055" w14:textId="77777777" w:rsidR="009C6073" w:rsidRPr="009C6073" w:rsidRDefault="009C6073" w:rsidP="009C6073">
      <w:pPr>
        <w:spacing w:line="480" w:lineRule="auto"/>
        <w:ind w:firstLine="720"/>
        <w:rPr>
          <w:rFonts w:ascii="Times New Roman" w:hAnsi="Times New Roman" w:cs="Times New Roman"/>
        </w:rPr>
      </w:pPr>
      <w:r w:rsidRPr="009C6073">
        <w:rPr>
          <w:rFonts w:ascii="Times New Roman" w:hAnsi="Times New Roman" w:cs="Times New Roman"/>
        </w:rPr>
        <w:t>Overall, this design creates a simple and accessible experience for borrowers while allowing expansion into a more advanced cloud system for lenders. It supports both user needs and Kiva’s broader goal of increasing financial access.</w:t>
      </w:r>
    </w:p>
    <w:p w14:paraId="5C563539" w14:textId="77777777" w:rsidR="009C6073" w:rsidRPr="009C6073" w:rsidRDefault="009C6073" w:rsidP="009C6073">
      <w:pPr>
        <w:spacing w:line="480" w:lineRule="auto"/>
        <w:rPr>
          <w:rFonts w:ascii="Times New Roman" w:hAnsi="Times New Roman" w:cs="Times New Roman"/>
        </w:rPr>
      </w:pPr>
    </w:p>
    <w:p w14:paraId="51F99637" w14:textId="69E0FA38" w:rsidR="009C6073" w:rsidRPr="009C6073" w:rsidRDefault="009C6073" w:rsidP="009C6073">
      <w:pPr>
        <w:spacing w:line="480" w:lineRule="auto"/>
        <w:rPr>
          <w:rFonts w:ascii="Times New Roman" w:hAnsi="Times New Roman" w:cs="Times New Roman"/>
        </w:rPr>
      </w:pPr>
      <w:r w:rsidRPr="009C6073">
        <w:rPr>
          <w:rFonts w:ascii="Times New Roman" w:hAnsi="Times New Roman" w:cs="Times New Roman"/>
        </w:rPr>
        <w:t>References</w:t>
      </w:r>
    </w:p>
    <w:p w14:paraId="1FE2D4B8" w14:textId="76EC1307" w:rsidR="009C6073" w:rsidRPr="009C6073" w:rsidRDefault="009C6073" w:rsidP="009C6073">
      <w:pPr>
        <w:spacing w:line="480" w:lineRule="auto"/>
        <w:rPr>
          <w:rFonts w:ascii="Times New Roman" w:hAnsi="Times New Roman" w:cs="Times New Roman"/>
        </w:rPr>
      </w:pPr>
      <w:r w:rsidRPr="009C6073">
        <w:rPr>
          <w:rFonts w:ascii="Times New Roman" w:hAnsi="Times New Roman" w:cs="Times New Roman"/>
        </w:rPr>
        <w:t>Apple. (n.d.). Human interface guidelines. https://developer.apple.com/design/human-interface-guidelines/</w:t>
      </w:r>
    </w:p>
    <w:p w14:paraId="21B1DB52" w14:textId="59A2E7D5" w:rsidR="009C6073" w:rsidRPr="009C6073" w:rsidRDefault="009C6073" w:rsidP="009C6073">
      <w:pPr>
        <w:spacing w:line="480" w:lineRule="auto"/>
        <w:rPr>
          <w:rFonts w:ascii="Times New Roman" w:hAnsi="Times New Roman" w:cs="Times New Roman"/>
        </w:rPr>
      </w:pPr>
      <w:r w:rsidRPr="009C6073">
        <w:rPr>
          <w:rFonts w:ascii="Times New Roman" w:hAnsi="Times New Roman" w:cs="Times New Roman"/>
        </w:rPr>
        <w:t>Google. (n.d.). Material design. https://material.io/design</w:t>
      </w:r>
    </w:p>
    <w:p w14:paraId="34ABBFB3" w14:textId="3F37A464" w:rsidR="00717B5C" w:rsidRPr="009C6073" w:rsidRDefault="009C6073" w:rsidP="009C6073">
      <w:pPr>
        <w:spacing w:line="480" w:lineRule="auto"/>
        <w:rPr>
          <w:rFonts w:ascii="Times New Roman" w:hAnsi="Times New Roman" w:cs="Times New Roman"/>
        </w:rPr>
      </w:pPr>
      <w:r w:rsidRPr="009C6073">
        <w:rPr>
          <w:rFonts w:ascii="Times New Roman" w:hAnsi="Times New Roman" w:cs="Times New Roman"/>
        </w:rPr>
        <w:t>Preece, J., Rogers, Y., &amp; Sharp, H. (2019). Interaction design: Beyond human-computer interaction (5th ed.). Wiley.</w:t>
      </w:r>
    </w:p>
    <w:sectPr w:rsidR="00717B5C" w:rsidRPr="009C6073" w:rsidSect="00944942">
      <w:footerReference w:type="default" r:id="rId8"/>
      <w:headerReference w:type="first" r:id="rId9"/>
      <w:footerReference w:type="first" r:id="rId10"/>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F51C" w14:textId="77777777" w:rsidR="00002CD5" w:rsidRDefault="00002CD5" w:rsidP="00414B54">
      <w:pPr>
        <w:spacing w:after="0" w:line="240" w:lineRule="auto"/>
      </w:pPr>
      <w:r>
        <w:separator/>
      </w:r>
    </w:p>
  </w:endnote>
  <w:endnote w:type="continuationSeparator" w:id="0">
    <w:p w14:paraId="2A90E8F5" w14:textId="77777777" w:rsidR="00002CD5" w:rsidRDefault="00002CD5"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9BF8" w14:textId="77777777" w:rsidR="00002CD5" w:rsidRDefault="00002CD5" w:rsidP="00414B54">
      <w:pPr>
        <w:spacing w:after="0" w:line="240" w:lineRule="auto"/>
      </w:pPr>
      <w:r>
        <w:separator/>
      </w:r>
    </w:p>
  </w:footnote>
  <w:footnote w:type="continuationSeparator" w:id="0">
    <w:p w14:paraId="49E9AAAF" w14:textId="77777777" w:rsidR="00002CD5" w:rsidRDefault="00002CD5"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1F0F2720" w:rsidR="00944942" w:rsidRPr="00A62DB0" w:rsidRDefault="00C254A5" w:rsidP="00944942">
    <w:pPr>
      <w:pStyle w:val="Header"/>
      <w:rPr>
        <w:rFonts w:ascii="Times New Roman" w:hAnsi="Times New Roman" w:cs="Times New Roman"/>
      </w:rPr>
    </w:pPr>
    <w:r w:rsidRPr="00C254A5">
      <w:rPr>
        <w:rFonts w:ascii="Times New Roman" w:hAnsi="Times New Roman" w:cs="Times New Roman"/>
      </w:rPr>
      <w:t xml:space="preserve">CS 319 </w:t>
    </w:r>
    <w:r w:rsidR="009C6073">
      <w:rPr>
        <w:rFonts w:ascii="Times New Roman" w:hAnsi="Times New Roman" w:cs="Times New Roman"/>
      </w:rPr>
      <w:t>Project 2</w:t>
    </w:r>
  </w:p>
  <w:p w14:paraId="59236AFC" w14:textId="40ADABEF"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w:t>
    </w:r>
    <w:r w:rsidR="00717B5C">
      <w:rPr>
        <w:rFonts w:ascii="Times New Roman" w:hAnsi="Times New Roman" w:cs="Times New Roman"/>
      </w:rPr>
      <w:t>4</w:t>
    </w:r>
    <w:r w:rsidRPr="00A62DB0">
      <w:rPr>
        <w:rFonts w:ascii="Times New Roman" w:hAnsi="Times New Roman" w:cs="Times New Roman"/>
      </w:rPr>
      <w:t>/</w:t>
    </w:r>
    <w:r w:rsidR="009C6073">
      <w:rPr>
        <w:rFonts w:ascii="Times New Roman" w:hAnsi="Times New Roman" w:cs="Times New Roman"/>
      </w:rPr>
      <w:t>15</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02CD5"/>
    <w:rsid w:val="00015403"/>
    <w:rsid w:val="000A0286"/>
    <w:rsid w:val="000B6E3B"/>
    <w:rsid w:val="000D2607"/>
    <w:rsid w:val="000E5D3F"/>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4864A1"/>
    <w:rsid w:val="005D34CC"/>
    <w:rsid w:val="005F0EF7"/>
    <w:rsid w:val="0060056A"/>
    <w:rsid w:val="0060103F"/>
    <w:rsid w:val="00607545"/>
    <w:rsid w:val="00661AB7"/>
    <w:rsid w:val="00694FCD"/>
    <w:rsid w:val="0069643B"/>
    <w:rsid w:val="006B0710"/>
    <w:rsid w:val="006B75DC"/>
    <w:rsid w:val="006C22D3"/>
    <w:rsid w:val="00703A3C"/>
    <w:rsid w:val="00717B5C"/>
    <w:rsid w:val="00744345"/>
    <w:rsid w:val="00751874"/>
    <w:rsid w:val="007626DE"/>
    <w:rsid w:val="00767E33"/>
    <w:rsid w:val="00773DDE"/>
    <w:rsid w:val="0079410F"/>
    <w:rsid w:val="007A35CE"/>
    <w:rsid w:val="007A697D"/>
    <w:rsid w:val="007E6E2A"/>
    <w:rsid w:val="008167FB"/>
    <w:rsid w:val="00832EA8"/>
    <w:rsid w:val="0088170E"/>
    <w:rsid w:val="008861AB"/>
    <w:rsid w:val="00887672"/>
    <w:rsid w:val="00910C33"/>
    <w:rsid w:val="00914ADD"/>
    <w:rsid w:val="00943C8F"/>
    <w:rsid w:val="00944942"/>
    <w:rsid w:val="00992617"/>
    <w:rsid w:val="009954A9"/>
    <w:rsid w:val="009C6073"/>
    <w:rsid w:val="009D5E66"/>
    <w:rsid w:val="009E5EB8"/>
    <w:rsid w:val="00A62DB0"/>
    <w:rsid w:val="00A87A87"/>
    <w:rsid w:val="00AE7B41"/>
    <w:rsid w:val="00AF0E16"/>
    <w:rsid w:val="00B44D9C"/>
    <w:rsid w:val="00BA3FE0"/>
    <w:rsid w:val="00BB110E"/>
    <w:rsid w:val="00BC1339"/>
    <w:rsid w:val="00BE11D5"/>
    <w:rsid w:val="00BF0962"/>
    <w:rsid w:val="00BF1EAB"/>
    <w:rsid w:val="00C229B4"/>
    <w:rsid w:val="00C254A5"/>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 w:val="00F81ECD"/>
    <w:rsid w:val="00FC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543</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7</cp:revision>
  <cp:lastPrinted>2026-03-25T04:04:00Z</cp:lastPrinted>
  <dcterms:created xsi:type="dcterms:W3CDTF">2026-03-25T04:02:00Z</dcterms:created>
  <dcterms:modified xsi:type="dcterms:W3CDTF">2026-04-16T03:04:00Z</dcterms:modified>
</cp:coreProperties>
</file>