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Cell Membrane Repair &amp; Bioelectric Integrity Protocol Matrix</w:t>
      </w:r>
    </w:p>
    <w:p>
      <w:r>
        <w:rPr>
          <w:b/>
        </w:rPr>
        <w:t>Version: CRIS GOLD v1.0 – Therapeutic Categories Locked</w:t>
        <w:br/>
        <w:t>Category: CELL MEMBRANES – BIOELECTRIC &amp; RECEPTOR FUNCTION OPTIMIZATION</w:t>
        <w:br/>
        <w:t>Status: Draft Template (ready for protocol population &amp; locking)</w:t>
      </w:r>
    </w:p>
    <w:p>
      <w:r>
        <w:br/>
        <w:t>CRIS GOLD™ – Product Knowledge File</w:t>
      </w:r>
    </w:p>
    <w:p>
      <w:r>
        <w:t>Category: CELL MEMBRANES – BIOELECTRIC &amp; RECEPTOR FUNCTION</w:t>
      </w:r>
    </w:p>
    <w:p>
      <w:pPr>
        <w:pStyle w:val="Heading2"/>
      </w:pPr>
      <w:r>
        <w:t>Importance of Cell Membrane Repair &amp; Bioelectric Integrity</w:t>
      </w:r>
    </w:p>
    <w:p>
      <w:r>
        <w:t>Cell membranes determine receptor sensitivity, ion channel function, hormone signaling efficiency, neurotransmitter binding, mineral transport, mitochondrial coupling, and intracellular communication. Damage to membrane phospholipids from oxidative stress, toxins, infections, chronic inflammation, and nutrient deficiencies results in impaired signaling even when hormones, neurotransmitters, and nutrients are present in adequate amounts.</w:t>
        <w:br/>
        <w:br/>
        <w:t>In CRIS GOLD, the Cell Membrane category is used to:</w:t>
        <w:br/>
        <w:t>- Restore phospholipid bilayer integrity</w:t>
        <w:br/>
        <w:t>- Improve receptor sensitivity (hormones, neurotransmitters, insulin)</w:t>
        <w:br/>
        <w:t>- Normalize ion channel conductance (Na⁺, K⁺, Ca²⁺, Mg²⁺)</w:t>
        <w:br/>
        <w:t>- Improve mineral transport efficiency</w:t>
        <w:br/>
        <w:t>- Support mitochondrial membrane stability</w:t>
        <w:br/>
        <w:t>- Improve redox signaling and intracellular communication</w:t>
        <w:br/>
        <w:t>- Reduce inflammatory membrane rigidity</w:t>
        <w:br/>
        <w:t>- Improve neurological signaling speed and clarity</w:t>
        <w:br/>
        <w:br/>
        <w:t>This category frequently overlaps with mitochondrial support, mineral repletion, detoxification, and genetic susceptibility patterns. Protocols may involve multiple nutritional companies depending on phospholipid delivery systems, antioxidant technologies, and lipid formulations.</w:t>
      </w:r>
    </w:p>
    <w:p>
      <w:r>
        <w:br w:type="page"/>
      </w:r>
    </w:p>
    <w:p>
      <w:pPr>
        <w:pStyle w:val="Heading2"/>
      </w:pPr>
      <w:r>
        <w:t>Quadrant I – Early Membrane Dysfunction / Functional Signaling Impairment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Mild brain fog</w:t>
        <w:br/>
        <w:t>- Early insulin resistance</w:t>
        <w:br/>
        <w:t>- Hormone resistance patterns</w:t>
        <w:br/>
        <w:t>- Mild mineral transport inefficiency</w:t>
        <w:br/>
        <w:t>- Early fatigue with normal labs</w:t>
      </w:r>
    </w:p>
    <w:p>
      <w:r>
        <w:br w:type="page"/>
      </w:r>
    </w:p>
    <w:p>
      <w:pPr>
        <w:pStyle w:val="Heading2"/>
      </w:pPr>
      <w:r>
        <w:t>Quadrant II – Inflammatory / Oxidative Membrane Injury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Chronic inflammation</w:t>
        <w:br/>
        <w:t>- Lipid peroxidation</w:t>
        <w:br/>
        <w:t>- Autoimmune activation</w:t>
        <w:br/>
        <w:t>- Neuroinflammation</w:t>
        <w:br/>
        <w:t>- Chemical/toxin exposure history</w:t>
      </w:r>
    </w:p>
    <w:p>
      <w:r>
        <w:br w:type="page"/>
      </w:r>
    </w:p>
    <w:p>
      <w:pPr>
        <w:pStyle w:val="Heading2"/>
      </w:pPr>
      <w:r>
        <w:t>Quadrant III – Energy‑Deficient / Neuro‑Metabolic Signaling Failure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Severe fatigue</w:t>
        <w:br/>
        <w:t>- Cognitive slowing</w:t>
        <w:br/>
        <w:t>- Poor medication response</w:t>
        <w:br/>
        <w:t>- Mitochondrial insufficiency</w:t>
        <w:br/>
        <w:t>- Low ATP production</w:t>
      </w:r>
    </w:p>
    <w:p>
      <w:r>
        <w:br w:type="page"/>
      </w:r>
    </w:p>
    <w:p>
      <w:pPr>
        <w:pStyle w:val="Heading2"/>
      </w:pPr>
      <w:r>
        <w:t>Quadrant IV – Chronic Structural Membrane Damage / Long‑Term Degeneration Pattern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Product</w:t>
            </w:r>
          </w:p>
        </w:tc>
        <w:tc>
          <w:tcPr>
            <w:tcW w:type="dxa" w:w="1728"/>
          </w:tcPr>
          <w:p>
            <w:r>
              <w:t>Suggested Dosage</w:t>
            </w:r>
          </w:p>
        </w:tc>
        <w:tc>
          <w:tcPr>
            <w:tcW w:type="dxa" w:w="1728"/>
          </w:tcPr>
          <w:p>
            <w:r>
              <w:t>General Indications</w:t>
            </w:r>
          </w:p>
        </w:tc>
        <w:tc>
          <w:tcPr>
            <w:tcW w:type="dxa" w:w="1728"/>
          </w:tcPr>
          <w:p>
            <w:r>
              <w:t>Notes / Physician Overrides</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r>
        <w:br/>
        <w:t>Clinical focus examples:</w:t>
        <w:br/>
        <w:t>- Long‑standing metabolic dysfunction</w:t>
        <w:br/>
        <w:t>- Neurodegeneration risk</w:t>
        <w:br/>
        <w:t>- Chronic hormone resistance</w:t>
        <w:br/>
        <w:t>- Recurrent treatment non‑response</w:t>
        <w:br/>
        <w:t>- Accelerated cellular aging</w:t>
      </w:r>
    </w:p>
    <w:p>
      <w:r>
        <w:br w:type="page"/>
      </w:r>
    </w:p>
    <w:p>
      <w:pPr>
        <w:pStyle w:val="Heading2"/>
      </w:pPr>
      <w:r>
        <w:t>Vendor Notes</w:t>
      </w:r>
    </w:p>
    <w:p>
      <w:r>
        <w:t>This protocol matrix supports mixed‑vendor integration, including but not limited to:</w:t>
        <w:br/>
        <w:br/>
        <w:t>- Quicksilver Scientific (liposomal &amp; phospholipid systems)</w:t>
        <w:br/>
        <w:t>- Designs for Health</w:t>
        <w:br/>
        <w:t>- Apex Energetics</w:t>
        <w:br/>
        <w:t>- Berkeley Life</w:t>
        <w:br/>
        <w:t>- Drucker Labs (mineral transport &amp; membrane stabilization)</w:t>
        <w:br/>
        <w:t>- Functional Genomics (Bob Miller)</w:t>
        <w:br/>
        <w:t>- Research Nutritionals</w:t>
        <w:br/>
        <w:t>- Other clinically validated membrane repair technologies</w:t>
      </w:r>
    </w:p>
    <w:p>
      <w:pPr>
        <w:pStyle w:val="Heading2"/>
      </w:pPr>
      <w:r>
        <w:t>Locking &amp; Versioning Rules</w:t>
      </w:r>
    </w:p>
    <w:p>
      <w:r>
        <w:t>Once populated and approved:</w:t>
        <w:br/>
        <w:br/>
        <w:t>- This document becomes: Cell Membranes – Master Protocol – v1.0 (LOCKED)</w:t>
        <w:br/>
        <w:t>- All changes require new version numbers (v1.1, v2.0, etc.)</w:t>
        <w:br/>
        <w:t>- Prior versions remain immutable</w:t>
        <w:br/>
        <w:t>- CRIS AI references this protocol as the authoritative membrane repair treatment engine</w:t>
      </w:r>
    </w:p>
    <w:p>
      <w:pPr>
        <w:pStyle w:val="Heading2"/>
      </w:pPr>
      <w:r>
        <w:t>Binder Placement</w:t>
      </w:r>
    </w:p>
    <w:p>
      <w:r>
        <w:t>Tab 5 – Therapeutic Protocol Library</w:t>
        <w:br/>
        <w:t>Sub‑section: Cell Membranes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