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GOLD™ – Mitochondrial Function &amp; Cellular Energy Protocol Matrix</w:t>
      </w:r>
    </w:p>
    <w:p>
      <w:r>
        <w:rPr>
          <w:b/>
        </w:rPr>
        <w:t>Version: CRIS GOLD v1.0 – Therapeutic Categories Locked</w:t>
        <w:br/>
        <w:t>Category: MITOCHONDRIA – CELLULAR ENERGY &amp; REDOX OPTIMIZATION</w:t>
        <w:br/>
        <w:t>Status: Draft Template (ready for protocol population &amp; locking)</w:t>
      </w:r>
    </w:p>
    <w:p>
      <w:r>
        <w:br/>
        <w:t>CRIS GOLD™ – Product Knowledge File</w:t>
      </w:r>
    </w:p>
    <w:p>
      <w:r>
        <w:t>Category: MITOCHONDRIA – CELLULAR ENERGY &amp; REDOX FUNCTION</w:t>
      </w:r>
    </w:p>
    <w:p>
      <w:pPr>
        <w:pStyle w:val="Heading2"/>
      </w:pPr>
      <w:r>
        <w:t>Importance of Mitochondrial Support</w:t>
      </w:r>
    </w:p>
    <w:p>
      <w:r>
        <w:t>Mitochondria regulate ATP production, redox balance, apoptosis signaling, steroidogenesis, neurotransmitter synthesis, immune signaling, and cellular repair. Mitochondrial dysfunction is a primary driver of fatigue syndromes, neurodegeneration, metabolic disease, cardiovascular disease, hormonal dysregulation, and impaired detoxification.</w:t>
        <w:br/>
        <w:br/>
        <w:t>In CRIS GOLD, the Mitochondria category is used to:</w:t>
        <w:br/>
        <w:t>- Increase ATP production</w:t>
        <w:br/>
        <w:t>- Improve electron transport chain efficiency</w:t>
        <w:br/>
        <w:t>- Restore NAD+/NADH balance</w:t>
        <w:br/>
        <w:t>- Support mitochondrial membrane stability</w:t>
        <w:br/>
        <w:t>- Reduce oxidative stress and ROS damage</w:t>
        <w:br/>
        <w:t>- Improve neurocognitive energy</w:t>
        <w:br/>
        <w:t>- Support cardiac and skeletal muscle endurance</w:t>
        <w:br/>
        <w:t>- Improve detoxification energy capacity</w:t>
        <w:br/>
        <w:br/>
        <w:t>Protocols often involve layered support including cofactors, electron donors, antioxidants, membrane lipids, genetic pathway support, and detox compatibility.</w:t>
      </w:r>
    </w:p>
    <w:p>
      <w:r>
        <w:br w:type="page"/>
      </w:r>
    </w:p>
    <w:p>
      <w:pPr>
        <w:pStyle w:val="Heading2"/>
      </w:pPr>
      <w:r>
        <w:t>Quadrant I – Functional Energy Deficit / Early Fatigue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Suggested Dosage</w:t>
            </w:r>
          </w:p>
        </w:tc>
        <w:tc>
          <w:tcPr>
            <w:tcW w:type="dxa" w:w="1728"/>
          </w:tcPr>
          <w:p>
            <w:r>
              <w:t>General Indications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/>
        <w:t>Clinical focus examples:</w:t>
        <w:br/>
        <w:t>- Mild fatigue</w:t>
        <w:br/>
        <w:t>- Reduced exercise tolerance</w:t>
        <w:br/>
        <w:t>- Brain fog with exertion</w:t>
        <w:br/>
        <w:t>- Stress-induced energy crashes</w:t>
        <w:br/>
        <w:t>- Early metabolic slowdown</w:t>
      </w:r>
    </w:p>
    <w:p>
      <w:r>
        <w:br w:type="page"/>
      </w:r>
    </w:p>
    <w:p>
      <w:pPr>
        <w:pStyle w:val="Heading2"/>
      </w:pPr>
      <w:r>
        <w:t>Quadrant II – Inflammatory / Oxidative Mitochondrial Injury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Suggested Dosage</w:t>
            </w:r>
          </w:p>
        </w:tc>
        <w:tc>
          <w:tcPr>
            <w:tcW w:type="dxa" w:w="1728"/>
          </w:tcPr>
          <w:p>
            <w:r>
              <w:t>General Indications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/>
        <w:t>Clinical focus examples:</w:t>
        <w:br/>
        <w:t>- Chronic inflammation</w:t>
        <w:br/>
        <w:t>- Post-viral fatigue</w:t>
        <w:br/>
        <w:t>- Elevated oxidative stress markers</w:t>
        <w:br/>
        <w:t>- Autoimmune involvement</w:t>
        <w:br/>
        <w:t>- Toxin exposure history</w:t>
      </w:r>
    </w:p>
    <w:p>
      <w:r>
        <w:br w:type="page"/>
      </w:r>
    </w:p>
    <w:p>
      <w:pPr>
        <w:pStyle w:val="Heading2"/>
      </w:pPr>
      <w:r>
        <w:t>Quadrant III – Energy Collapse / Neuro‑Metabolic Failure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Suggested Dosage</w:t>
            </w:r>
          </w:p>
        </w:tc>
        <w:tc>
          <w:tcPr>
            <w:tcW w:type="dxa" w:w="1728"/>
          </w:tcPr>
          <w:p>
            <w:r>
              <w:t>General Indications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/>
        <w:t>Clinical focus examples:</w:t>
        <w:br/>
        <w:t>- Severe fatigue</w:t>
        <w:br/>
        <w:t>- POTS / orthostatic intolerance</w:t>
        <w:br/>
        <w:t>- Cognitive dysfunction</w:t>
        <w:br/>
        <w:t>- Poor medication tolerance</w:t>
        <w:br/>
        <w:t>- Low stress resilience</w:t>
      </w:r>
    </w:p>
    <w:p>
      <w:r>
        <w:br w:type="page"/>
      </w:r>
    </w:p>
    <w:p>
      <w:pPr>
        <w:pStyle w:val="Heading2"/>
      </w:pPr>
      <w:r>
        <w:t>Quadrant IV – Chronic Degenerative / Mitochondrial Aging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Suggested Dosage</w:t>
            </w:r>
          </w:p>
        </w:tc>
        <w:tc>
          <w:tcPr>
            <w:tcW w:type="dxa" w:w="1728"/>
          </w:tcPr>
          <w:p>
            <w:r>
              <w:t>General Indications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/>
        <w:t>Clinical focus examples:</w:t>
        <w:br/>
        <w:t>- Long-term chronic illness</w:t>
        <w:br/>
        <w:t>- Neurodegenerative risk</w:t>
        <w:br/>
        <w:t>- Sarcopenia</w:t>
        <w:br/>
        <w:t>- Cardiac energy insufficiency</w:t>
        <w:br/>
        <w:t>- Accelerated biological aging</w:t>
      </w:r>
    </w:p>
    <w:p>
      <w:r>
        <w:br w:type="page"/>
      </w:r>
    </w:p>
    <w:p>
      <w:pPr>
        <w:pStyle w:val="Heading2"/>
      </w:pPr>
      <w:r>
        <w:t>Vendor Notes</w:t>
      </w:r>
    </w:p>
    <w:p>
      <w:r>
        <w:t>This protocol matrix supports mixed-vendor integration, including but not limited to:</w:t>
        <w:br/>
        <w:br/>
        <w:t>- Quicksilver Scientific</w:t>
        <w:br/>
        <w:t>- Designs for Health</w:t>
        <w:br/>
        <w:t>- Apex Energetics</w:t>
        <w:br/>
        <w:t>- Drucker Labs</w:t>
        <w:br/>
        <w:t>- Functional Genomics (Bob Miller)</w:t>
        <w:br/>
        <w:t>- Research Nutritionals</w:t>
        <w:br/>
        <w:t>- Bioresource / Pekana (supportive overlap)</w:t>
        <w:br/>
        <w:t>- Other clinically validated mitochondrial support technologies</w:t>
      </w:r>
    </w:p>
    <w:p>
      <w:pPr>
        <w:pStyle w:val="Heading2"/>
      </w:pPr>
      <w:r>
        <w:t>Locking &amp; Versioning Rules</w:t>
      </w:r>
    </w:p>
    <w:p>
      <w:r>
        <w:t>Once populated and approved:</w:t>
        <w:br/>
        <w:br/>
        <w:t>- This document becomes: Mitochondria – Master Protocol – v1.0 (LOCKED)</w:t>
        <w:br/>
        <w:t>- All changes require new version numbers (v1.1, v2.0, etc.)</w:t>
        <w:br/>
        <w:t>- Prior versions remain immutable</w:t>
        <w:br/>
        <w:t>- CRIS AI references this protocol as the authoritative mitochondrial treatment engine</w:t>
      </w:r>
    </w:p>
    <w:p>
      <w:pPr>
        <w:pStyle w:val="Heading2"/>
      </w:pPr>
      <w:r>
        <w:t>Binder Placement</w:t>
      </w:r>
    </w:p>
    <w:p>
      <w:r>
        <w:t>Tab 5 – Therapeutic Protocol Library</w:t>
        <w:br/>
        <w:t>Sub-section: Mitochondria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