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 GOLD™ – Neuro / Cognitive Function &amp; Brain Optimization Protocol Matrix</w:t>
      </w:r>
    </w:p>
    <w:p>
      <w:r>
        <w:rPr>
          <w:b/>
        </w:rPr>
        <w:t>Version: CRIS GOLD v1.0 – Therapeutic Categories Locked</w:t>
        <w:br/>
        <w:t>Category: NEURO / COGNITIVE – BRAIN FUNCTION &amp; NEUROPLASTICITY OPTIMIZATION</w:t>
        <w:br/>
        <w:t>Status: Draft Template (ready for protocol population &amp; locking)</w:t>
      </w:r>
    </w:p>
    <w:p>
      <w:r>
        <w:br/>
        <w:t>CRIS GOLD™ – Product Knowledge File</w:t>
      </w:r>
    </w:p>
    <w:p>
      <w:r>
        <w:t>Category: NEURO / COGNITIVE – BRAIN FUNCTION &amp; PERFORMANCE</w:t>
      </w:r>
    </w:p>
    <w:p>
      <w:pPr>
        <w:pStyle w:val="Heading2"/>
      </w:pPr>
      <w:r>
        <w:t>Importance of Neuro / Cognitive Support</w:t>
      </w:r>
    </w:p>
    <w:p>
      <w:r>
        <w:t>Cognitive performance, emotional regulation, memory formation, attention, executive function, and stress resilience are governed by neuronal energy metabolism, neurotransmitter balance, synaptic plasticity, cerebral blood flow, myelination, inflammation control, and membrane integrity.</w:t>
        <w:br/>
        <w:br/>
        <w:t>Neuro-cognitive dysfunction commonly overlaps with mitochondrial failure, vascular insufficiency, membrane damage, hormonal dysregulation, chronic inflammation, trauma load, and genetic vulnerabilities.</w:t>
        <w:br/>
        <w:br/>
        <w:t>In CRIS GOLD, the Neuro / Cognitive category is used to:</w:t>
        <w:br/>
        <w:t>- Improve attention, memory, and processing speed</w:t>
        <w:br/>
        <w:t>- Support neurotransmitter synthesis and balance</w:t>
        <w:br/>
        <w:t>- Enhance neuroplasticity and BDNF signaling</w:t>
        <w:br/>
        <w:t>- Improve cerebral blood flow and oxygen delivery</w:t>
        <w:br/>
        <w:t>- Reduce neuroinflammation</w:t>
        <w:br/>
        <w:t>- Improve stress resilience and emotional regulation</w:t>
        <w:br/>
        <w:t>- Support recovery from TBI, concussion, and neurodegeneration</w:t>
        <w:br/>
        <w:t>- Improve medication responsiveness and tolerance</w:t>
        <w:br/>
        <w:br/>
        <w:t>Protocols often integrate nutritional neurotrophics, mitochondrial cofactors, membrane lipids, vascular support, anti-inflammatory compounds, peptides, and neuromodulation adjuncts (e.g., NeuroVIZR where appropriate).</w:t>
      </w:r>
    </w:p>
    <w:p>
      <w:r>
        <w:br w:type="page"/>
      </w:r>
    </w:p>
    <w:p>
      <w:pPr>
        <w:pStyle w:val="Heading2"/>
      </w:pPr>
      <w:r>
        <w:t>Quadrant I – Functional Cognitive Stress / Early Performance Decline Pattern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Product</w:t>
            </w:r>
          </w:p>
        </w:tc>
        <w:tc>
          <w:tcPr>
            <w:tcW w:type="dxa" w:w="1728"/>
          </w:tcPr>
          <w:p>
            <w:r>
              <w:t>Suggested Dosage</w:t>
            </w:r>
          </w:p>
        </w:tc>
        <w:tc>
          <w:tcPr>
            <w:tcW w:type="dxa" w:w="1728"/>
          </w:tcPr>
          <w:p>
            <w:r>
              <w:t>General Indications</w:t>
            </w:r>
          </w:p>
        </w:tc>
        <w:tc>
          <w:tcPr>
            <w:tcW w:type="dxa" w:w="1728"/>
          </w:tcPr>
          <w:p>
            <w:r>
              <w:t>Notes / Physician Overrides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Clinical focus examples:</w:t>
        <w:br/>
        <w:t>- Mild brain fog</w:t>
        <w:br/>
        <w:t>- Attention variability</w:t>
        <w:br/>
        <w:t>- Stress-related cognitive decline</w:t>
        <w:br/>
        <w:t>- Poor focus under workload</w:t>
        <w:br/>
        <w:t>- Early memory complaints</w:t>
      </w:r>
    </w:p>
    <w:p>
      <w:r>
        <w:br w:type="page"/>
      </w:r>
    </w:p>
    <w:p>
      <w:pPr>
        <w:pStyle w:val="Heading2"/>
      </w:pPr>
      <w:r>
        <w:t>Quadrant II – Inflammatory / Neurotransmitter Imbalance Pattern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Product</w:t>
            </w:r>
          </w:p>
        </w:tc>
        <w:tc>
          <w:tcPr>
            <w:tcW w:type="dxa" w:w="1728"/>
          </w:tcPr>
          <w:p>
            <w:r>
              <w:t>Suggested Dosage</w:t>
            </w:r>
          </w:p>
        </w:tc>
        <w:tc>
          <w:tcPr>
            <w:tcW w:type="dxa" w:w="1728"/>
          </w:tcPr>
          <w:p>
            <w:r>
              <w:t>General Indications</w:t>
            </w:r>
          </w:p>
        </w:tc>
        <w:tc>
          <w:tcPr>
            <w:tcW w:type="dxa" w:w="1728"/>
          </w:tcPr>
          <w:p>
            <w:r>
              <w:t>Notes / Physician Overrides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Clinical focus examples:</w:t>
        <w:br/>
        <w:t>- Anxiety or depression overlap</w:t>
        <w:br/>
        <w:t>- Neuroinflammation</w:t>
        <w:br/>
        <w:t>- Sleep disruption</w:t>
        <w:br/>
        <w:t>- Neurotransmitter deficiency or excess patterns</w:t>
        <w:br/>
        <w:t>- Chronic stress exposure</w:t>
      </w:r>
    </w:p>
    <w:p>
      <w:r>
        <w:br w:type="page"/>
      </w:r>
    </w:p>
    <w:p>
      <w:pPr>
        <w:pStyle w:val="Heading2"/>
      </w:pPr>
      <w:r>
        <w:t>Quadrant III – Energy-Deficient / Neuro-Metabolic Failure Pattern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Product</w:t>
            </w:r>
          </w:p>
        </w:tc>
        <w:tc>
          <w:tcPr>
            <w:tcW w:type="dxa" w:w="1728"/>
          </w:tcPr>
          <w:p>
            <w:r>
              <w:t>Suggested Dosage</w:t>
            </w:r>
          </w:p>
        </w:tc>
        <w:tc>
          <w:tcPr>
            <w:tcW w:type="dxa" w:w="1728"/>
          </w:tcPr>
          <w:p>
            <w:r>
              <w:t>General Indications</w:t>
            </w:r>
          </w:p>
        </w:tc>
        <w:tc>
          <w:tcPr>
            <w:tcW w:type="dxa" w:w="1728"/>
          </w:tcPr>
          <w:p>
            <w:r>
              <w:t>Notes / Physician Overrides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Clinical focus examples:</w:t>
        <w:br/>
        <w:t>- Severe cognitive fatigue</w:t>
        <w:br/>
        <w:t>- Post-concussion syndrome</w:t>
        <w:br/>
        <w:t>- Long COVID brain fog</w:t>
        <w:br/>
        <w:t>- Poor medication tolerance</w:t>
        <w:br/>
        <w:t>- Autonomic instability</w:t>
      </w:r>
    </w:p>
    <w:p>
      <w:r>
        <w:br w:type="page"/>
      </w:r>
    </w:p>
    <w:p>
      <w:pPr>
        <w:pStyle w:val="Heading2"/>
      </w:pPr>
      <w:r>
        <w:t>Quadrant IV – Chronic Neurodegenerative / Cognitive Decline Pattern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Product</w:t>
            </w:r>
          </w:p>
        </w:tc>
        <w:tc>
          <w:tcPr>
            <w:tcW w:type="dxa" w:w="1728"/>
          </w:tcPr>
          <w:p>
            <w:r>
              <w:t>Suggested Dosage</w:t>
            </w:r>
          </w:p>
        </w:tc>
        <w:tc>
          <w:tcPr>
            <w:tcW w:type="dxa" w:w="1728"/>
          </w:tcPr>
          <w:p>
            <w:r>
              <w:t>General Indications</w:t>
            </w:r>
          </w:p>
        </w:tc>
        <w:tc>
          <w:tcPr>
            <w:tcW w:type="dxa" w:w="1728"/>
          </w:tcPr>
          <w:p>
            <w:r>
              <w:t>Notes / Physician Overrides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Clinical focus examples:</w:t>
        <w:br/>
        <w:t>- Mild cognitive impairment (MCI)</w:t>
        <w:br/>
        <w:t>- Alzheimer’s risk patterns</w:t>
        <w:br/>
        <w:t>- Parkinsonian features</w:t>
        <w:br/>
        <w:t>- Long-term TBI sequelae</w:t>
        <w:br/>
        <w:t>- Age-related cognitive decline</w:t>
      </w:r>
    </w:p>
    <w:p>
      <w:r>
        <w:br w:type="page"/>
      </w:r>
    </w:p>
    <w:p>
      <w:pPr>
        <w:pStyle w:val="Heading2"/>
      </w:pPr>
      <w:r>
        <w:t>Vendor Notes</w:t>
      </w:r>
    </w:p>
    <w:p>
      <w:r>
        <w:t>This protocol matrix supports mixed-vendor integration, including but not limited to:</w:t>
        <w:br/>
        <w:br/>
        <w:t>- Research Nutritionals (BDNF &amp; neurotrophic support)</w:t>
        <w:br/>
        <w:t>- Quicksilver Scientific (liposomal neuro-support &amp; peptides)</w:t>
        <w:br/>
        <w:t>- Apex Energetics</w:t>
        <w:br/>
        <w:t>- Designs for Health</w:t>
        <w:br/>
        <w:t>- Functional Genomics (Bob Miller)</w:t>
        <w:br/>
        <w:t>- Drucker Labs (minerals &amp; neuro-endocrine stabilization)</w:t>
        <w:br/>
        <w:t>- Bioresource / Pekana (supportive regulation)</w:t>
        <w:br/>
        <w:t>- NeuroVIZR protocols (where clinically appropriate)</w:t>
        <w:br/>
        <w:t>- Other clinically validated neuro-support technologies</w:t>
      </w:r>
    </w:p>
    <w:p>
      <w:pPr>
        <w:pStyle w:val="Heading2"/>
      </w:pPr>
      <w:r>
        <w:t>Locking &amp; Versioning Rules</w:t>
      </w:r>
    </w:p>
    <w:p>
      <w:r>
        <w:t>Once populated and approved:</w:t>
        <w:br/>
        <w:br/>
        <w:t>- This document becomes: Neuro / Cognitive – Master Protocol – v1.0 (LOCKED)</w:t>
        <w:br/>
        <w:t>- All changes require new version numbers (v1.1, v2.0, etc.)</w:t>
        <w:br/>
        <w:t>- Prior versions remain immutable</w:t>
        <w:br/>
        <w:t>- CRIS AI references this protocol as the authoritative neuro-cognitive treatment engine</w:t>
      </w:r>
    </w:p>
    <w:p>
      <w:pPr>
        <w:pStyle w:val="Heading2"/>
      </w:pPr>
      <w:r>
        <w:t>Binder Placement</w:t>
      </w:r>
    </w:p>
    <w:p>
      <w:r>
        <w:t>Tab 5 – Therapeutic Protocol Library</w:t>
        <w:br/>
        <w:t>Sub-section: Neuro / Cognitive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