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Protocol Matrix Template</w:t>
      </w:r>
    </w:p>
    <w:p>
      <w:r>
        <w:t>Version: CRIS GOLD v1.0 – Therapeutic Categories Locked</w:t>
        <w:br/>
      </w:r>
    </w:p>
    <w:p>
      <w:pPr>
        <w:pStyle w:val="Heading2"/>
      </w:pPr>
      <w:r>
        <w:t>Drainage</w:t>
      </w:r>
    </w:p>
    <w:p>
      <w:pPr>
        <w:pStyle w:val="ListNumber"/>
      </w:pPr>
      <w:r>
        <w:t>Quadrant 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Vascular / Cardiovascular</w:t>
      </w:r>
    </w:p>
    <w:p>
      <w:pPr>
        <w:pStyle w:val="ListNumber"/>
      </w:pPr>
      <w:r>
        <w:t>Quadrant 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Cell Membranes</w:t>
      </w:r>
    </w:p>
    <w:p>
      <w:pPr>
        <w:pStyle w:val="ListNumber"/>
      </w:pPr>
      <w:r>
        <w:t>Quadrant 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Mitochondria</w:t>
      </w:r>
    </w:p>
    <w:p>
      <w:pPr>
        <w:pStyle w:val="ListNumber"/>
      </w:pPr>
      <w:r>
        <w:t>Quadrant 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Number"/>
      </w:pPr>
      <w:r>
        <w:t>Quadrant IV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