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Protocol Registry &amp; Governance Record</w:t>
      </w:r>
    </w:p>
    <w:p>
      <w:r>
        <w:rPr>
          <w:b/>
        </w:rPr>
        <w:t>Version: CRIS GOLD v1.0</w:t>
        <w:br/>
        <w:t>Document Type: Protocol Registry / Governance &amp; Version Control Record</w:t>
        <w:br/>
        <w:t>Status: Active</w:t>
        <w:br/>
        <w:t>Purpose: Master index of all locked therapeutic protocol categories used by CRIS GOLD AI</w:t>
        <w:br/>
      </w:r>
    </w:p>
    <w:p>
      <w:r>
        <w:br/>
        <w:t>This document serves as the official governance and audit record for all therapeutic protocol categories implemented within the CRIS GOLD Clinical Report Intelligence System (CRIS™). Only protocols listed in this registry may be used by CRIS AI for automated recommendation generation.</w:t>
        <w:br/>
        <w:br/>
        <w:t>All protocol documents listed below are immutable once locked. Modifications require creation of a new version (v1.1, v2.0, etc.) and formal re‑approval.</w:t>
        <w:br/>
      </w:r>
    </w:p>
    <w:p>
      <w:pPr>
        <w:pStyle w:val="Heading2"/>
      </w:pPr>
      <w:r>
        <w:t>Locked Therapeutic Protocol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Protocol Name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Vendor Model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Drainage</w:t>
            </w:r>
          </w:p>
        </w:tc>
        <w:tc>
          <w:tcPr>
            <w:tcW w:type="dxa" w:w="1728"/>
          </w:tcPr>
          <w:p>
            <w:r>
              <w:t>Drainage – Master Protocol (Bioresource / Pekana)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Single-vendor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</w:tr>
      <w:tr>
        <w:tc>
          <w:tcPr>
            <w:tcW w:type="dxa" w:w="1728"/>
          </w:tcPr>
          <w:p>
            <w:r>
              <w:t>Vascular / Cardiovascular</w:t>
            </w:r>
          </w:p>
        </w:tc>
        <w:tc>
          <w:tcPr>
            <w:tcW w:type="dxa" w:w="1728"/>
          </w:tcPr>
          <w:p>
            <w:r>
              <w:t>Vascular – Master Protocol (Mixed Vendors)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Multi-vendor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</w:tr>
      <w:tr>
        <w:tc>
          <w:tcPr>
            <w:tcW w:type="dxa" w:w="1728"/>
          </w:tcPr>
          <w:p>
            <w:r>
              <w:t>Cell Membranes</w:t>
            </w:r>
          </w:p>
        </w:tc>
        <w:tc>
          <w:tcPr>
            <w:tcW w:type="dxa" w:w="1728"/>
          </w:tcPr>
          <w:p>
            <w:r>
              <w:t>Cell Membranes – Master Protocol (Mixed Vendors)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Multi-vendor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</w:tr>
      <w:tr>
        <w:tc>
          <w:tcPr>
            <w:tcW w:type="dxa" w:w="1728"/>
          </w:tcPr>
          <w:p>
            <w:r>
              <w:t>Mitochondria</w:t>
            </w:r>
          </w:p>
        </w:tc>
        <w:tc>
          <w:tcPr>
            <w:tcW w:type="dxa" w:w="1728"/>
          </w:tcPr>
          <w:p>
            <w:r>
              <w:t>Mitochondria – Master Protocol (Mixed Vendors)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Multi-vendor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</w:tr>
      <w:tr>
        <w:tc>
          <w:tcPr>
            <w:tcW w:type="dxa" w:w="1728"/>
          </w:tcPr>
          <w:p>
            <w:r>
              <w:t>Neuro / Cognitive</w:t>
            </w:r>
          </w:p>
        </w:tc>
        <w:tc>
          <w:tcPr>
            <w:tcW w:type="dxa" w:w="1728"/>
          </w:tcPr>
          <w:p>
            <w:r>
              <w:t>Neuro / Cognitive – Master Protocol (Mixed Vendors)</w:t>
            </w:r>
          </w:p>
        </w:tc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Multi-vendor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</w:tr>
    </w:tbl>
    <w:p>
      <w:pPr>
        <w:pStyle w:val="Heading2"/>
      </w:pPr>
      <w:r>
        <w:t>Governance Rules</w:t>
      </w:r>
    </w:p>
    <w:p>
      <w:r>
        <w:t>1. Protocol documents listed in this registry are authoritative sources for CRIS AI recommendations.</w:t>
        <w:br/>
        <w:t>2. Locked protocols may not be altered or overwritten.</w:t>
        <w:br/>
        <w:t>3. Updates require new version numbers and new protocol documents.</w:t>
        <w:br/>
        <w:t>4. Prior versions must be retained for audit, medico‑legal, and reproducibility purposes.</w:t>
        <w:br/>
        <w:t>5. Physicians may override recommendations clinically, but protocol logic remains unchanged in CRIS AI.</w:t>
        <w:br/>
      </w:r>
    </w:p>
    <w:p>
      <w:pPr>
        <w:pStyle w:val="Heading2"/>
      </w:pPr>
      <w:r>
        <w:t>Version Control Log</w:t>
      </w:r>
    </w:p>
    <w:p>
      <w:r>
        <w:t>v1.0 – Initial protocol registry created and core therapeutic categories locked.</w:t>
        <w:br/>
      </w:r>
    </w:p>
    <w:p>
      <w:pPr>
        <w:pStyle w:val="Heading2"/>
      </w:pPr>
      <w:r>
        <w:t>Binder Placement</w:t>
      </w:r>
    </w:p>
    <w:p>
      <w:r>
        <w:t>Tab 1 – System Governance &amp; Protocol Registry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