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 Vascular / Cardiovascular Protocol Matrix</w:t>
      </w:r>
    </w:p>
    <w:p>
      <w:r>
        <w:rPr>
          <w:b/>
        </w:rPr>
        <w:t>Version: CRIS GOLD v1.0 – Therapeutic Categories Locked</w:t>
        <w:br/>
        <w:t>Category: VASCULAR – CARDIOVASCULAR OPTIMIZATION</w:t>
        <w:br/>
        <w:t>Status: Master Template (ready for protocol population)</w:t>
      </w:r>
    </w:p>
    <w:p>
      <w:r>
        <w:br/>
        <w:t>CRIS GOLD™ – Product Knowledge File</w:t>
      </w:r>
    </w:p>
    <w:p>
      <w:r>
        <w:t>Category: VASCULAR – CARDIOVASCULAR</w:t>
      </w:r>
    </w:p>
    <w:p>
      <w:pPr>
        <w:pStyle w:val="Heading2"/>
      </w:pPr>
      <w:r>
        <w:t>Importance of Vascular Remedies</w:t>
      </w:r>
    </w:p>
    <w:p>
      <w:r>
        <w:t>Many chronic and degenerative conditions are driven or accelerated by impaired vascular function. This includes reduced endothelial nitric oxide signaling, arterial stiffness, impaired microcirculation, autonomic vascular dysregulation (baroreflex dysfunction), mitochondrial energy failure in cardiac and vascular smooth muscle, inflammatory injury to the endothelium, and impaired oxygen and nutrient delivery to tissues.</w:t>
        <w:br/>
        <w:br/>
        <w:t>In CRIS GOLD, the Vascular category is used to:</w:t>
        <w:br/>
        <w:t>- Reduce arterial stiffness and Pulse Pressure</w:t>
        <w:br/>
        <w:t>- Improve endothelial function and nitric oxide availability</w:t>
        <w:br/>
        <w:t>- Support autonomic vascular regulation (LF% / baroreflex)</w:t>
        <w:br/>
        <w:t>- Improve microcirculation and tissue perfusion</w:t>
        <w:br/>
        <w:t>- Reduce cardiac workload</w:t>
        <w:br/>
        <w:t>- Support mitochondrial energy production in cardiomyocytes</w:t>
        <w:br/>
        <w:t>- Reduce inflammatory and oxidative vascular injury</w:t>
        <w:br/>
        <w:t>- Support long-term cardiovascular risk reduction</w:t>
        <w:br/>
        <w:br/>
        <w:t>Unlike drainage protocols, vascular optimization commonly requires multiple nutritional companies to address different physiological layers (NO signaling, mitochondria, minerals, membranes, inflammation, autonomic tone).</w:t>
        <w:br/>
        <w:br/>
        <w:t>This category is therefore designed as a multi-vendor protocol system within a single therapeutic category.</w:t>
      </w:r>
    </w:p>
    <w:p>
      <w:r>
        <w:br w:type="page"/>
      </w:r>
    </w:p>
    <w:p>
      <w:pPr>
        <w:pStyle w:val="Heading2"/>
      </w:pPr>
      <w:r>
        <w:t>Quadrant I – Early Dysfunction / Functional Vascular Stress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Mild endothelial dysfunction</w:t>
        <w:br/>
        <w:t>- Early autonomic vascular imbalance</w:t>
        <w:br/>
        <w:t>- Borderline Pulse Pressure elevation</w:t>
        <w:br/>
        <w:t>- Stress-related vasoconstriction</w:t>
      </w:r>
    </w:p>
    <w:p>
      <w:r>
        <w:br w:type="page"/>
      </w:r>
    </w:p>
    <w:p>
      <w:pPr>
        <w:pStyle w:val="Heading2"/>
      </w:pPr>
      <w:r>
        <w:t>Quadrant II – Compensated Vascular Dysfunction / Inflammatory Load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Sustained Pulse Pressure elevation</w:t>
        <w:br/>
        <w:t>- Endothelial inflammation</w:t>
        <w:br/>
        <w:t>- Early arterial stiffness</w:t>
        <w:br/>
        <w:t>- Autonomic imbalance with metabolic stress</w:t>
      </w:r>
    </w:p>
    <w:p>
      <w:r>
        <w:br w:type="page"/>
      </w:r>
    </w:p>
    <w:p>
      <w:pPr>
        <w:pStyle w:val="Heading2"/>
      </w:pPr>
      <w:r>
        <w:t>Quadrant III – Energy-Deficient / Neuro-Cardiovascular Fatigue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Low cardiac output patterns</w:t>
        <w:br/>
        <w:t>- Mitochondrial insufficiency</w:t>
        <w:br/>
        <w:t>- Orthostatic symptoms</w:t>
        <w:br/>
        <w:t>- Cognitive hypoperfusion</w:t>
      </w:r>
    </w:p>
    <w:p>
      <w:r>
        <w:br w:type="page"/>
      </w:r>
    </w:p>
    <w:p>
      <w:pPr>
        <w:pStyle w:val="Heading2"/>
      </w:pPr>
      <w:r>
        <w:t>Quadrant IV – Advanced Vascular Stiffness / High-Risk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High Pulse Pressure</w:t>
        <w:br/>
        <w:t>- Advanced arterial stiffness</w:t>
        <w:br/>
        <w:t>- Measured CASP elevation (device-based)</w:t>
        <w:br/>
        <w:t>- Cardiovascular disease risk</w:t>
        <w:br/>
        <w:t>- Long-term endothelial injury</w:t>
      </w:r>
    </w:p>
    <w:p>
      <w:r>
        <w:br w:type="page"/>
      </w:r>
    </w:p>
    <w:p>
      <w:pPr>
        <w:pStyle w:val="Heading2"/>
      </w:pPr>
      <w:r>
        <w:t>Vendor Notes</w:t>
      </w:r>
    </w:p>
    <w:p>
      <w:r>
        <w:t>This protocol matrix is designed to support mixed-vendor integration, including but not limited to:</w:t>
        <w:br/>
        <w:br/>
        <w:t>- Quicksilver Scientific</w:t>
        <w:br/>
        <w:t>- Designs for Health</w:t>
        <w:br/>
        <w:t>- Apex Energetics</w:t>
        <w:br/>
        <w:t>- Berkeley Life</w:t>
        <w:br/>
        <w:t>- Drucker Labs (minerals + hormone normalization support)</w:t>
        <w:br/>
        <w:t>- Bioresource / Pekana (supportive drainage overlap)</w:t>
        <w:br/>
        <w:t>- Functional Genomics (Bob Miller)</w:t>
        <w:br/>
        <w:t>- Other clinically validated cardiovascular nutraceutical providers</w:t>
      </w:r>
    </w:p>
    <w:p>
      <w:pPr>
        <w:pStyle w:val="Heading2"/>
      </w:pPr>
      <w:r>
        <w:t>Locking &amp; Versioning Rules</w:t>
      </w:r>
    </w:p>
    <w:p>
      <w:r>
        <w:t>Once populated and approved:</w:t>
        <w:br/>
        <w:br/>
        <w:t>- This document becomes: Vascular – Master Protocol – v1.0 (LOCKED)</w:t>
        <w:br/>
        <w:t>- All changes require new version numbers (v1.1, v2.0, etc.)</w:t>
        <w:br/>
        <w:t>- Prior versions remain immutable</w:t>
        <w:br/>
        <w:t>- CRIS AI references this protocol as the authoritative vascular treatment engine</w:t>
      </w:r>
    </w:p>
    <w:p>
      <w:pPr>
        <w:pStyle w:val="Heading2"/>
      </w:pPr>
      <w:r>
        <w:t>Binder Placement</w:t>
      </w:r>
    </w:p>
    <w:p>
      <w:r>
        <w:t>Tab 5 – Therapeutic Protocol Library</w:t>
        <w:br/>
        <w:t>Sub-section: Vascular / Cardiovascular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