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GOLD™ – Vascular Protocol Panel (Physician View Mockup)</w:t>
      </w:r>
    </w:p>
    <w:p>
      <w:r>
        <w:rPr>
          <w:b/>
        </w:rPr>
        <w:t>Version: CRIS GOLD v1.0</w:t>
        <w:br/>
        <w:t>Document Type: UI / Workflow Mockup (Physician Interface)</w:t>
        <w:br/>
        <w:t>Category: Vascular / Cardiovascular – Master Protocol v1.0 (LOCKED)</w:t>
        <w:br/>
      </w:r>
    </w:p>
    <w:p>
      <w:r>
        <w:br/>
        <w:t>---</w:t>
        <w:br/>
      </w:r>
    </w:p>
    <w:p>
      <w:pPr>
        <w:pStyle w:val="Heading2"/>
      </w:pPr>
      <w:r>
        <w:t>Header Panel</w:t>
      </w:r>
    </w:p>
    <w:p>
      <w:r>
        <w:t>Patient Name: John Doe</w:t>
        <w:br/>
        <w:t>Date: 2026‑01‑20</w:t>
        <w:br/>
        <w:t>Quadrant Detected: Q4</w:t>
        <w:br/>
        <w:t>Protocol Version: Vascular – Master Protocol v1.0 (LOCKED)</w:t>
        <w:br/>
      </w:r>
    </w:p>
    <w:p>
      <w:pPr>
        <w:pStyle w:val="Heading2"/>
      </w:pPr>
      <w:r>
        <w:t>Section A – Clinical Pattern Summary (Auto‑Generated)</w:t>
      </w:r>
    </w:p>
    <w:p>
      <w:r>
        <w:t>• High Pulse Pressure</w:t>
        <w:br/>
        <w:t>• Advanced arterial stiffness</w:t>
        <w:br/>
        <w:t>• Elevated CASP (device‑measured)</w:t>
        <w:br/>
        <w:t>• High cardiovascular risk pattern</w:t>
        <w:br/>
        <w:t>• Endothelial dysfunction</w:t>
        <w:br/>
        <w:br/>
        <w:t>Protocol Objective:</w:t>
        <w:br/>
        <w:t>Reduce arterial stiffness, improve endothelial nitric oxide signaling, lower cardiac workload, and stabilize autonomic vascular tone.</w:t>
      </w:r>
    </w:p>
    <w:p>
      <w:pPr>
        <w:pStyle w:val="Heading2"/>
      </w:pPr>
      <w:r>
        <w:t>Section B – Auto‑Populated Protocol Table (from Locked Library)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Company</w:t>
            </w:r>
          </w:p>
        </w:tc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Protocol Dose</w:t>
            </w:r>
          </w:p>
        </w:tc>
        <w:tc>
          <w:tcPr>
            <w:tcW w:type="dxa" w:w="1440"/>
          </w:tcPr>
          <w:p>
            <w:r>
              <w:t>Final Dose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  <w:tc>
          <w:tcPr>
            <w:tcW w:type="dxa" w:w="1440"/>
          </w:tcPr>
          <w:p>
            <w:r>
              <w:t>Override Reason</w:t>
            </w:r>
          </w:p>
        </w:tc>
      </w:tr>
      <w:tr>
        <w:tc>
          <w:tcPr>
            <w:tcW w:type="dxa" w:w="1440"/>
          </w:tcPr>
          <w:p>
            <w:r>
              <w:t>Quicksilver Scientific</w:t>
            </w:r>
          </w:p>
        </w:tc>
        <w:tc>
          <w:tcPr>
            <w:tcW w:type="dxa" w:w="1440"/>
          </w:tcPr>
          <w:p>
            <w:r>
              <w:t>Nitric Oxide Support</w:t>
            </w:r>
          </w:p>
        </w:tc>
        <w:tc>
          <w:tcPr>
            <w:tcW w:type="dxa" w:w="1440"/>
          </w:tcPr>
          <w:p>
            <w:r>
              <w:t>2 pumps BID</w:t>
            </w:r>
          </w:p>
        </w:tc>
        <w:tc>
          <w:tcPr>
            <w:tcW w:type="dxa" w:w="1440"/>
          </w:tcPr>
          <w:p>
            <w:r>
              <w:t>2 pumps BID</w:t>
            </w:r>
          </w:p>
        </w:tc>
        <w:tc>
          <w:tcPr>
            <w:tcW w:type="dxa" w:w="1440"/>
          </w:tcPr>
          <w:p>
            <w:r>
              <w:t>12 weeks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Drucker Labs</w:t>
            </w:r>
          </w:p>
        </w:tc>
        <w:tc>
          <w:tcPr>
            <w:tcW w:type="dxa" w:w="1440"/>
          </w:tcPr>
          <w:p>
            <w:r>
              <w:t>Mineral Balance Formula</w:t>
            </w:r>
          </w:p>
        </w:tc>
        <w:tc>
          <w:tcPr>
            <w:tcW w:type="dxa" w:w="1440"/>
          </w:tcPr>
          <w:p>
            <w:r>
              <w:t>1 scoop QD</w:t>
            </w:r>
          </w:p>
        </w:tc>
        <w:tc>
          <w:tcPr>
            <w:tcW w:type="dxa" w:w="1440"/>
          </w:tcPr>
          <w:p>
            <w:r>
              <w:t>1 scoop QD</w:t>
            </w:r>
          </w:p>
        </w:tc>
        <w:tc>
          <w:tcPr>
            <w:tcW w:type="dxa" w:w="1440"/>
          </w:tcPr>
          <w:p>
            <w:r>
              <w:t>12 weeks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Designs for Health</w:t>
            </w:r>
          </w:p>
        </w:tc>
        <w:tc>
          <w:tcPr>
            <w:tcW w:type="dxa" w:w="1440"/>
          </w:tcPr>
          <w:p>
            <w:r>
              <w:t>CoQ10 Supreme</w:t>
            </w:r>
          </w:p>
        </w:tc>
        <w:tc>
          <w:tcPr>
            <w:tcW w:type="dxa" w:w="1440"/>
          </w:tcPr>
          <w:p>
            <w:r>
              <w:t>200 mg QD</w:t>
            </w:r>
          </w:p>
        </w:tc>
        <w:tc>
          <w:tcPr>
            <w:tcW w:type="dxa" w:w="1440"/>
          </w:tcPr>
          <w:p>
            <w:r>
              <w:t>200 mg QD</w:t>
            </w:r>
          </w:p>
        </w:tc>
        <w:tc>
          <w:tcPr>
            <w:tcW w:type="dxa" w:w="1440"/>
          </w:tcPr>
          <w:p>
            <w:r>
              <w:t>12 weeks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Berkeley Life</w:t>
            </w:r>
          </w:p>
        </w:tc>
        <w:tc>
          <w:tcPr>
            <w:tcW w:type="dxa" w:w="1440"/>
          </w:tcPr>
          <w:p>
            <w:r>
              <w:t>Nitric Oxide Lozenge</w:t>
            </w:r>
          </w:p>
        </w:tc>
        <w:tc>
          <w:tcPr>
            <w:tcW w:type="dxa" w:w="1440"/>
          </w:tcPr>
          <w:p>
            <w:r>
              <w:t>1 lozenge QD</w:t>
            </w:r>
          </w:p>
        </w:tc>
        <w:tc>
          <w:tcPr>
            <w:tcW w:type="dxa" w:w="1440"/>
          </w:tcPr>
          <w:p>
            <w:r>
              <w:t>1 lozenge QD</w:t>
            </w:r>
          </w:p>
        </w:tc>
        <w:tc>
          <w:tcPr>
            <w:tcW w:type="dxa" w:w="1440"/>
          </w:tcPr>
          <w:p>
            <w:r>
              <w:t>12 weeks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Section C – Physician Control Panel</w:t>
      </w:r>
    </w:p>
    <w:p>
      <w:r>
        <w:t>☑ Use protocol as‑is</w:t>
        <w:br/>
        <w:t>☐ Modify protocol</w:t>
        <w:br/>
        <w:t>☐ Replace protocol</w:t>
        <w:br/>
      </w:r>
    </w:p>
    <w:p>
      <w:pPr>
        <w:pStyle w:val="Heading2"/>
      </w:pPr>
      <w:r>
        <w:t>Section D – Safety &amp; Medication Overlay (Optional)</w:t>
      </w:r>
    </w:p>
    <w:p>
      <w:r>
        <w:t>Alerts:</w:t>
        <w:br/>
        <w:t>⚠ Patient currently using beta‑blocker medication</w:t>
        <w:br/>
        <w:t>⚠ History of hypotension</w:t>
        <w:br/>
      </w:r>
    </w:p>
    <w:p>
      <w:pPr>
        <w:pStyle w:val="Heading2"/>
      </w:pPr>
      <w:r>
        <w:t>Section E – Confirmation &amp; Audit Logging</w:t>
      </w:r>
    </w:p>
    <w:p>
      <w:r>
        <w:t>✔ Protocol approved and locked into patient plan</w:t>
        <w:br/>
        <w:t>✔ Logged under CRIS GOLD Protocol Registry – Vascular v1.0</w:t>
        <w:br/>
        <w:t>✔ Included in clinician and patient reports</w:t>
        <w:br/>
      </w:r>
    </w:p>
    <w:p>
      <w:pPr>
        <w:pStyle w:val="Heading2"/>
      </w:pPr>
      <w:r>
        <w:t>Binder Placement</w:t>
      </w:r>
    </w:p>
    <w:p>
      <w:r>
        <w:t>Tab 7 – Clinical Interface Mockups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