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CRIS™ Purchase Flow Checklist (v1.0) — for Tisa</w:t>
      </w:r>
    </w:p>
    <w:p>
      <w:pPr>
        <w:pStyle w:val="Heading2"/>
      </w:pPr>
      <w:r>
        <w:t>Goal</w:t>
      </w:r>
    </w:p>
    <w:p>
      <w:r>
        <w:t>Enable a doctor to purchase CRIS, receive access immediately, and successfully generate their first report within 15 minutes.</w:t>
      </w:r>
    </w:p>
    <w:p>
      <w:pPr>
        <w:pStyle w:val="Heading2"/>
      </w:pPr>
      <w:r>
        <w:t>1) Stripe / Checkout Setup</w:t>
      </w:r>
    </w:p>
    <w:p>
      <w:r>
        <w:t>□ Create product(s): CRIS Monthly + CRIS Annual (mark as “Introductory Pricing” on the pricing section).</w:t>
      </w:r>
    </w:p>
    <w:p>
      <w:r>
        <w:t>□ Add CTA buttons → Stripe checkout links.</w:t>
      </w:r>
    </w:p>
    <w:p>
      <w:r>
        <w:t>□ Collect billing email + name (required).</w:t>
      </w:r>
    </w:p>
    <w:p>
      <w:r>
        <w:t>□ Confirmation page: “You’re in — check your email for CRIS access.”</w:t>
      </w:r>
    </w:p>
    <w:p>
      <w:pPr>
        <w:pStyle w:val="Heading2"/>
      </w:pPr>
      <w:r>
        <w:t>2) Access &amp; Delivery Automation</w:t>
      </w:r>
    </w:p>
    <w:p>
      <w:r>
        <w:t>□ Trigger: successful Stripe payment.</w:t>
      </w:r>
    </w:p>
    <w:p>
      <w:r>
        <w:t>□ Deliver email #1 (immediate): download links + Start Here steps.</w:t>
      </w:r>
    </w:p>
    <w:p>
      <w:r>
        <w:t xml:space="preserve">   - Include: Prompt Card v1.0, Quick Start Guide v1.0, Questionnaires, Sample CRIS Case v1.0</w:t>
      </w:r>
    </w:p>
    <w:p>
      <w:r>
        <w:t>□ Deliver email #2 (15–30 min later): troubleshooting + best practices.</w:t>
      </w:r>
    </w:p>
    <w:p>
      <w:r>
        <w:t>□ Deliver email #3 (next day): demo case + support info.</w:t>
      </w:r>
    </w:p>
    <w:p>
      <w:pPr>
        <w:pStyle w:val="Heading2"/>
      </w:pPr>
      <w:r>
        <w:t>3) Onboarding Page (Resources Page)</w:t>
      </w:r>
    </w:p>
    <w:p>
      <w:r>
        <w:t>□ One page with: steps, downloads, FAQ, support contact.</w:t>
      </w:r>
    </w:p>
    <w:p>
      <w:pPr>
        <w:pStyle w:val="Heading2"/>
      </w:pPr>
      <w:r>
        <w:t>4) “Introductory Pricing” Language</w:t>
      </w:r>
    </w:p>
    <w:p>
      <w:r>
        <w:t>□ Add consistent line: “Introductory pricing — subject to increase as CRIS expands.”</w:t>
      </w:r>
    </w:p>
    <w:p>
      <w:r>
        <w:t>□ Ensure Annual plan shows savings (e.g., ‘2 months free’).</w:t>
      </w:r>
    </w:p>
    <w:p>
      <w:pPr>
        <w:pStyle w:val="Heading2"/>
      </w:pPr>
      <w:r>
        <w:t>5) Assets to Host (Downloads)</w:t>
      </w:r>
    </w:p>
    <w:p>
      <w:r>
        <w:t>□ Website Copy v1.0</w:t>
      </w:r>
    </w:p>
    <w:p>
      <w:r>
        <w:t>□ Prompt Card v1.0 (copy/paste)</w:t>
      </w:r>
    </w:p>
    <w:p>
      <w:r>
        <w:t>□ Doctor Quick Start Guide v1.0</w:t>
      </w:r>
    </w:p>
    <w:p>
      <w:r>
        <w:t>□ Questionnaires</w:t>
      </w:r>
    </w:p>
    <w:p>
      <w:r>
        <w:t>□ Sample CRIS Case v1.0</w:t>
      </w:r>
    </w:p>
    <w:p>
      <w:pPr>
        <w:pStyle w:val="Heading2"/>
      </w:pPr>
      <w:r>
        <w:t>6) Support &amp; Risk Controls</w:t>
      </w:r>
    </w:p>
    <w:p>
      <w:r>
        <w:t>□ Disclaimer footer: decision-support only; practitioner responsible.</w:t>
      </w:r>
    </w:p>
    <w:p>
      <w:r>
        <w:t>□ PHI reminder: practitioners follow their HIPAA workflow.</w:t>
      </w:r>
    </w:p>
    <w:p>
      <w:r>
        <w:t>□ Support inbox + FAQ.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