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 AI Logic &amp; Clinical Decision Engine Specification</w:t>
      </w:r>
    </w:p>
    <w:p>
      <w:r>
        <w:rPr>
          <w:b/>
        </w:rPr>
        <w:t>Version: CRIS GOLD v1.0</w:t>
        <w:br/>
        <w:t>Document Type: AI Logic &amp; Decision Engine Technical Specification</w:t>
        <w:br/>
        <w:t>Audience: AI Engineers, Backend Developers, Clinical Systems Architects</w:t>
        <w:br/>
        <w:t>Prepared for: HQP / CRIS GOLD Implementation Team (Tisa, Bao, Ruan, Developers)</w:t>
        <w:br/>
      </w:r>
    </w:p>
    <w:p>
      <w:r>
        <w:br/>
        <w:t>This document defines the rules, logic flow, data dependencies, safety boundaries, and governance constraints for the CRIS GOLD artificial intelligence system. It is the authoritative technical reference for how AI generates clinical recommendations while preserving physician authority and protocol integrity.</w:t>
        <w:br/>
      </w:r>
    </w:p>
    <w:p>
      <w:pPr>
        <w:pStyle w:val="Heading2"/>
      </w:pPr>
      <w:r>
        <w:t>1. AI System Objectives</w:t>
      </w:r>
    </w:p>
    <w:p>
      <w:r>
        <w:t>- Interpret HQP physiological data</w:t>
        <w:br/>
        <w:t>- Determine autonomic quadrant classification (Q1–Q4)</w:t>
        <w:br/>
        <w:t>- Recommend therapeutic categories</w:t>
        <w:br/>
        <w:t>- Select appropriate protocol version per category</w:t>
        <w:br/>
        <w:t>- Populate protocol tables</w:t>
        <w:br/>
        <w:t>- Generate clinical and patient reports</w:t>
        <w:br/>
        <w:t>- Maintain auditability and version control</w:t>
        <w:br/>
      </w:r>
    </w:p>
    <w:p>
      <w:pPr>
        <w:pStyle w:val="Heading2"/>
      </w:pPr>
      <w:r>
        <w:t>2. Hard Safety Boundaries</w:t>
      </w:r>
    </w:p>
    <w:p>
      <w:r>
        <w:t>AI MUST:</w:t>
        <w:br/>
        <w:t>- Never modify protocol source documents</w:t>
        <w:br/>
        <w:t>- Never alter protocol dosages stored in master libraries</w:t>
        <w:br/>
        <w:t>- Never remove categories from the registry</w:t>
        <w:br/>
        <w:t>- Never override physician selections</w:t>
        <w:br/>
        <w:t>- Never change protocol version numbers</w:t>
        <w:br/>
        <w:t>- Always log protocol version references</w:t>
        <w:br/>
        <w:t>- Always attach physician override records to reports</w:t>
        <w:br/>
      </w:r>
    </w:p>
    <w:p>
      <w:pPr>
        <w:pStyle w:val="Heading2"/>
      </w:pPr>
      <w:r>
        <w:t>3. Input Data Sources</w:t>
      </w:r>
    </w:p>
    <w:p>
      <w:r>
        <w:t>- HQP metrics (SDNN, RMSSD, LF%, HF%, VLF%, Stress Index, Total Power, etc.)</w:t>
        <w:br/>
        <w:t>- Derived indices (ARI, ELI)</w:t>
        <w:br/>
        <w:t>- Pulse Pressure</w:t>
        <w:br/>
        <w:t>- CASP (only if device-measured)</w:t>
        <w:br/>
        <w:t>- Brain Gauge data (optional)</w:t>
        <w:br/>
        <w:t>- Physician questionnaire inputs</w:t>
        <w:br/>
        <w:t>- Uploaded HQP screenshots (OCR if needed)</w:t>
        <w:br/>
      </w:r>
    </w:p>
    <w:p>
      <w:pPr>
        <w:pStyle w:val="Heading2"/>
      </w:pPr>
      <w:r>
        <w:t>4. Quadrant Classification Logic (Simplified)</w:t>
      </w:r>
    </w:p>
    <w:p>
      <w:r>
        <w:t>Inputs:</w:t>
        <w:br/>
        <w:t>- ARI (Autonomic Regulation Index)</w:t>
        <w:br/>
        <w:t>- ELI (Emotional Load Index)</w:t>
        <w:br/>
        <w:br/>
        <w:t>Logic:</w:t>
        <w:br/>
        <w:t>IF ARI high AND ELI low → Q4</w:t>
        <w:br/>
        <w:t>IF ARI high AND ELI high → Q2</w:t>
        <w:br/>
        <w:t>IF ARI low AND ELI high → Q1</w:t>
        <w:br/>
        <w:t>IF ARI low AND ELI low → Q3</w:t>
        <w:br/>
        <w:br/>
        <w:t>Threshold values are configurable but must be version controlled.</w:t>
        <w:br/>
      </w:r>
    </w:p>
    <w:p>
      <w:pPr>
        <w:pStyle w:val="Heading2"/>
      </w:pPr>
      <w:r>
        <w:t>5. Category Recommendation Logic</w:t>
      </w:r>
    </w:p>
    <w:p>
      <w:r>
        <w:t>AI generates suggested categories based on metric triggers:</w:t>
        <w:br/>
        <w:br/>
        <w:t>- Drainage → high toxins, inflammation, lymphatic congestion, detox burden</w:t>
        <w:br/>
        <w:t>- Vascular → high Pulse Pressure, high LF%, low baroreflex, CASP elevation</w:t>
        <w:br/>
        <w:t>- Cell Membranes → hormone resistance, mineral transport issues, oxidative stress</w:t>
        <w:br/>
        <w:t>- Mitochondria → low Total Power, fatigue patterns, neuro-metabolic collapse</w:t>
        <w:br/>
        <w:t>- Neuro/Cognitive → brain fog, concussion history, neurotransmitter imbalance</w:t>
        <w:br/>
        <w:br/>
        <w:t>All category suggestions are advisory only.</w:t>
        <w:br/>
      </w:r>
    </w:p>
    <w:p>
      <w:pPr>
        <w:pStyle w:val="Heading2"/>
      </w:pPr>
      <w:r>
        <w:t>6. Protocol Selection Logic</w:t>
      </w:r>
    </w:p>
    <w:p>
      <w:r>
        <w:t>For each selected category:</w:t>
        <w:br/>
        <w:t>- Identify current protocol version from registry</w:t>
        <w:br/>
        <w:t>- Load protocol matrix</w:t>
        <w:br/>
        <w:t>- Select quadrant-specific protocol table</w:t>
        <w:br/>
        <w:t>- Populate products, dosages, durations</w:t>
        <w:br/>
        <w:t>- Lock protocol fields (read-only)</w:t>
        <w:br/>
      </w:r>
    </w:p>
    <w:p>
      <w:pPr>
        <w:pStyle w:val="Heading2"/>
      </w:pPr>
      <w:r>
        <w:t>7. Override Handling</w:t>
      </w:r>
    </w:p>
    <w:p>
      <w:r>
        <w:t>- Overrides are captured as a separate layer</w:t>
        <w:br/>
        <w:t>- Original protocol remains unchanged</w:t>
        <w:br/>
        <w:t>- Override fields include product, dose, duration, reason</w:t>
        <w:br/>
        <w:t>- Overrides are attached to patient record</w:t>
        <w:br/>
        <w:t>- Overrides are printed in clinician report</w:t>
        <w:br/>
      </w:r>
    </w:p>
    <w:p>
      <w:pPr>
        <w:pStyle w:val="Heading2"/>
      </w:pPr>
      <w:r>
        <w:t>8. Multi-Category Protocol Stacking</w:t>
      </w:r>
    </w:p>
    <w:p>
      <w:r>
        <w:t>- Multiple categories may be applied simultaneously</w:t>
        <w:br/>
        <w:t>- AI must prevent duplicate products across categories</w:t>
        <w:br/>
        <w:t>- AI must flag dose conflicts</w:t>
        <w:br/>
        <w:t>- AI must flag contraindications (if medication data present)</w:t>
        <w:br/>
      </w:r>
    </w:p>
    <w:p>
      <w:pPr>
        <w:pStyle w:val="Heading2"/>
      </w:pPr>
      <w:r>
        <w:t>9. Report Generation Logic</w:t>
      </w:r>
    </w:p>
    <w:p>
      <w:r>
        <w:t>- Patient report: simplified explanations, lifestyle focus</w:t>
        <w:br/>
        <w:t>- Clinician report: full protocol tables, metrics, rationale</w:t>
        <w:br/>
        <w:t>- Include protocol version references</w:t>
        <w:br/>
        <w:t>- Include override summary</w:t>
        <w:br/>
        <w:t>- Include registry confirmation section</w:t>
        <w:br/>
      </w:r>
    </w:p>
    <w:p>
      <w:pPr>
        <w:pStyle w:val="Heading2"/>
      </w:pPr>
      <w:r>
        <w:t>10. Audit &amp; Registry Integration</w:t>
      </w:r>
    </w:p>
    <w:p>
      <w:r>
        <w:t>Each session must create a registry record:</w:t>
        <w:br/>
        <w:t>- Patient ID</w:t>
        <w:br/>
        <w:t>- Date</w:t>
        <w:br/>
        <w:t>- Protocols used + versions</w:t>
        <w:br/>
        <w:t>- Physician ID</w:t>
        <w:br/>
        <w:t>- Override flags</w:t>
        <w:br/>
        <w:t>- Report hashes</w:t>
        <w:br/>
      </w:r>
    </w:p>
    <w:p>
      <w:pPr>
        <w:pStyle w:val="Heading2"/>
      </w:pPr>
      <w:r>
        <w:t>11. Version Control Rules</w:t>
      </w:r>
    </w:p>
    <w:p>
      <w:r>
        <w:t>- AI logic version must be tracked separately from protocol versions</w:t>
        <w:br/>
        <w:t>- Protocol updates require registry update</w:t>
        <w:br/>
        <w:t>- AI logic changes require new AI version number</w:t>
        <w:br/>
        <w:t>- Historical sessions must remain reproducible</w:t>
        <w:br/>
      </w:r>
    </w:p>
    <w:p>
      <w:pPr>
        <w:pStyle w:val="Heading2"/>
      </w:pPr>
      <w:r>
        <w:t>12. Error Handling &amp; Failsafes</w:t>
      </w:r>
    </w:p>
    <w:p>
      <w:r>
        <w:t>- Missing HQP data → halt and request completion</w:t>
        <w:br/>
        <w:t>- Missing protocol version → block execution</w:t>
        <w:br/>
        <w:t>- Corrupted protocol file → alert admin</w:t>
        <w:br/>
        <w:t>- Invalid override entry → request physician confirmation</w:t>
        <w:br/>
      </w:r>
    </w:p>
    <w:p>
      <w:pPr>
        <w:pStyle w:val="Heading2"/>
      </w:pPr>
      <w:r>
        <w:t>13. Future Extensions</w:t>
      </w:r>
    </w:p>
    <w:p>
      <w:r>
        <w:t>- Machine learning personalization layer (optional)</w:t>
        <w:br/>
        <w:t>- Outcomes tracking</w:t>
        <w:br/>
        <w:t>- Longitudinal protocol optimization</w:t>
        <w:br/>
        <w:t>- Risk stratification modeling</w:t>
        <w:br/>
      </w:r>
    </w:p>
    <w:p>
      <w:pPr>
        <w:pStyle w:val="Heading2"/>
      </w:pPr>
      <w:r>
        <w:t>14. Binder Placement</w:t>
      </w:r>
    </w:p>
    <w:p>
      <w:r>
        <w:t>Tab 8 – AI Logic &amp; Decision Engine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