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CRIS GOLD™ – Rubimed Psychosomatic Energetics Report Section Mockups</w:t>
      </w:r>
    </w:p>
    <w:p>
      <w:r>
        <w:rPr>
          <w:b/>
        </w:rPr>
        <w:t>Version: CRIS GOLD v1.0</w:t>
        <w:br/>
        <w:t>Document Type: Report Section UI / Content Mockups</w:t>
        <w:br/>
        <w:t>Audience: Developers, Clinical Team, Design</w:t>
        <w:br/>
      </w:r>
    </w:p>
    <w:p>
      <w:r>
        <w:t>This document shows how the Rubimed (Chavita / Emvita / Acute Remedies) system appears inside both the Clinician and Patient CRIS GOLD reports.</w:t>
        <w:br/>
      </w:r>
    </w:p>
    <w:p>
      <w:pPr>
        <w:pStyle w:val="Heading2"/>
      </w:pPr>
      <w:r>
        <w:t>Clinician Report – Rubimed Section</w:t>
      </w:r>
    </w:p>
    <w:p>
      <w:r>
        <w:t>Section Title: Psychosomatic Energetics (Rubimed System)</w:t>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Selection</w:t>
            </w:r>
          </w:p>
        </w:tc>
        <w:tc>
          <w:tcPr>
            <w:tcW w:type="dxa" w:w="2160"/>
          </w:tcPr>
          <w:p>
            <w:r>
              <w:t>Clinical Meaning</w:t>
            </w:r>
          </w:p>
        </w:tc>
        <w:tc>
          <w:tcPr>
            <w:tcW w:type="dxa" w:w="2160"/>
          </w:tcPr>
          <w:p>
            <w:r>
              <w:t>Notes / Overrides</w:t>
            </w:r>
          </w:p>
        </w:tc>
      </w:tr>
      <w:tr>
        <w:tc>
          <w:tcPr>
            <w:tcW w:type="dxa" w:w="2160"/>
          </w:tcPr>
          <w:p>
            <w:r>
              <w:t>Chavita</w:t>
            </w:r>
          </w:p>
        </w:tc>
        <w:tc>
          <w:tcPr>
            <w:tcW w:type="dxa" w:w="2160"/>
          </w:tcPr>
          <w:p>
            <w:r>
              <w:t>Chavita 4 – Heart / Identity Conflict</w:t>
            </w:r>
          </w:p>
        </w:tc>
        <w:tc>
          <w:tcPr>
            <w:tcW w:type="dxa" w:w="2160"/>
          </w:tcPr>
          <w:p>
            <w:r>
              <w:t>Core emotional theme affecting autonomic regulation and cardiac stress patterns</w:t>
            </w:r>
          </w:p>
        </w:tc>
        <w:tc>
          <w:tcPr>
            <w:tcW w:type="dxa" w:w="2160"/>
          </w:tcPr>
          <w:p>
            <w:r/>
          </w:p>
        </w:tc>
      </w:tr>
      <w:tr>
        <w:tc>
          <w:tcPr>
            <w:tcW w:type="dxa" w:w="2160"/>
          </w:tcPr>
          <w:p>
            <w:r>
              <w:t>Emvita</w:t>
            </w:r>
          </w:p>
        </w:tc>
        <w:tc>
          <w:tcPr>
            <w:tcW w:type="dxa" w:w="2160"/>
          </w:tcPr>
          <w:p>
            <w:r>
              <w:t>Emvita 13 – Grief / Loss Pattern</w:t>
            </w:r>
          </w:p>
        </w:tc>
        <w:tc>
          <w:tcPr>
            <w:tcW w:type="dxa" w:w="2160"/>
          </w:tcPr>
          <w:p>
            <w:r>
              <w:t>Primary unresolved emotional conflict contributing to stress index elevation</w:t>
            </w:r>
          </w:p>
        </w:tc>
        <w:tc>
          <w:tcPr>
            <w:tcW w:type="dxa" w:w="2160"/>
          </w:tcPr>
          <w:p>
            <w:r/>
          </w:p>
        </w:tc>
      </w:tr>
      <w:tr>
        <w:tc>
          <w:tcPr>
            <w:tcW w:type="dxa" w:w="2160"/>
          </w:tcPr>
          <w:p>
            <w:r>
              <w:t>Acute Remedy</w:t>
            </w:r>
          </w:p>
        </w:tc>
        <w:tc>
          <w:tcPr>
            <w:tcW w:type="dxa" w:w="2160"/>
          </w:tcPr>
          <w:p>
            <w:r>
              <w:t>Neurovita</w:t>
            </w:r>
          </w:p>
        </w:tc>
        <w:tc>
          <w:tcPr>
            <w:tcW w:type="dxa" w:w="2160"/>
          </w:tcPr>
          <w:p>
            <w:r>
              <w:t>Shock / trauma stabilization layer activated</w:t>
            </w:r>
          </w:p>
        </w:tc>
        <w:tc>
          <w:tcPr>
            <w:tcW w:type="dxa" w:w="2160"/>
          </w:tcPr>
          <w:p>
            <w:r/>
          </w:p>
        </w:tc>
      </w:tr>
    </w:tbl>
    <w:p>
      <w:r>
        <w:br/>
        <w:t>Dosing Protocol:</w:t>
      </w:r>
    </w:p>
    <w:p>
      <w:r>
        <w:t>- Chavita 4: 10 drops BID</w:t>
        <w:br/>
        <w:t>- Emvita 13: 10 drops BID</w:t>
        <w:br/>
        <w:t>- Neurovita: 10 drops TID x 5 days</w:t>
        <w:br/>
      </w:r>
    </w:p>
    <w:p>
      <w:r>
        <w:t>Selection Method: Questionnaire + Practitioner confirmation</w:t>
        <w:br/>
        <w:t>Protocol Version: Rubimed Library v1.0</w:t>
        <w:br/>
        <w:t>AI Recommendation: Yes</w:t>
        <w:br/>
        <w:t>Physician Approval: Yes</w:t>
        <w:br/>
      </w:r>
    </w:p>
    <w:p>
      <w:r>
        <w:br/>
        <w:t>Clinical Integration Notes:</w:t>
        <w:br/>
        <w:t>Rubimed findings correlate with elevated Stress Index, reduced HRV coherence, and cardiovascular autonomic instability. Emotional conflict resolution is expected to improve parasympathetic recovery and protocol response in Vascular and Mitochondrial categories.</w:t>
        <w:br/>
      </w:r>
    </w:p>
    <w:p>
      <w:pPr>
        <w:pStyle w:val="Heading2"/>
      </w:pPr>
      <w:r>
        <w:t>Patient Report – Rubimed Section</w:t>
      </w:r>
    </w:p>
    <w:p>
      <w:r>
        <w:t>Section Title: Emotional Stress &amp; Nervous System Balance</w:t>
        <w:br/>
      </w:r>
    </w:p>
    <w:p>
      <w:r>
        <w:t>Your testing showed that part of your nervous system stress is being driven by unresolved emotional tension patterns stored in the body. These patterns can affect sleep, heart rhythm, digestion, energy levels, and your ability to recover from stress.</w:t>
        <w:br/>
      </w:r>
    </w:p>
    <w:p>
      <w:r>
        <w:t>We identified the following areas to support:</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What it Means</w:t>
            </w:r>
          </w:p>
        </w:tc>
      </w:tr>
      <w:tr>
        <w:tc>
          <w:tcPr>
            <w:tcW w:type="dxa" w:w="4320"/>
          </w:tcPr>
          <w:p>
            <w:r>
              <w:t>Emotional Theme</w:t>
            </w:r>
          </w:p>
        </w:tc>
        <w:tc>
          <w:tcPr>
            <w:tcW w:type="dxa" w:w="4320"/>
          </w:tcPr>
          <w:p>
            <w:r>
              <w:t>Heart-centered emotional stress pattern</w:t>
            </w:r>
          </w:p>
        </w:tc>
      </w:tr>
      <w:tr>
        <w:tc>
          <w:tcPr>
            <w:tcW w:type="dxa" w:w="4320"/>
          </w:tcPr>
          <w:p>
            <w:r>
              <w:t>Stress Memory</w:t>
            </w:r>
          </w:p>
        </w:tc>
        <w:tc>
          <w:tcPr>
            <w:tcW w:type="dxa" w:w="4320"/>
          </w:tcPr>
          <w:p>
            <w:r>
              <w:t>Body holding unresolved stress signals</w:t>
            </w:r>
          </w:p>
        </w:tc>
      </w:tr>
      <w:tr>
        <w:tc>
          <w:tcPr>
            <w:tcW w:type="dxa" w:w="4320"/>
          </w:tcPr>
          <w:p>
            <w:r>
              <w:t>Nervous System Impact</w:t>
            </w:r>
          </w:p>
        </w:tc>
        <w:tc>
          <w:tcPr>
            <w:tcW w:type="dxa" w:w="4320"/>
          </w:tcPr>
          <w:p>
            <w:r>
              <w:t>Increased tension and reduced relaxation response</w:t>
            </w:r>
          </w:p>
        </w:tc>
      </w:tr>
    </w:tbl>
    <w:p>
      <w:r>
        <w:br/>
        <w:t>Your Personalized Support:</w:t>
      </w:r>
    </w:p>
    <w:p>
      <w:r>
        <w:t>- A natural emotional regulation remedy to help your nervous system reset</w:t>
        <w:br/>
        <w:t>- A stress stabilization remedy for the first few days</w:t>
        <w:br/>
      </w:r>
    </w:p>
    <w:p>
      <w:r>
        <w:t>These remedies work gently and do not interfere with medications. Many patients notice improved calmness, sleep quality, and emotional clarity within 2–4 weeks.</w:t>
        <w:br/>
      </w:r>
    </w:p>
    <w:p>
      <w:r>
        <w:t>This emotional support plan works alongside your nutrition and cardiovascular program to improve overall recovery.</w:t>
        <w:br/>
      </w:r>
    </w:p>
    <w:p>
      <w:pPr>
        <w:pStyle w:val="Heading2"/>
      </w:pPr>
      <w:r>
        <w:t>Design Notes for Developers</w:t>
      </w:r>
    </w:p>
    <w:p>
      <w:r>
        <w:t>- Clinician version uses structured tables and clinical terminology</w:t>
        <w:br/>
        <w:t>- Patient version uses simplified language</w:t>
        <w:br/>
        <w:t>- Section is independent from biochemical protocol tables</w:t>
        <w:br/>
        <w:t>- Must display Rubimed version reference</w:t>
        <w:br/>
        <w:t>- Must support override notes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