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rk93jvfdvpkx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Fundamentals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Generalized Linear Models (GLMs)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GLMs are a flexible generalization of ordinary linear regression that allows for response variables that have error distribution models other than a normal distribution.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fcrlwvgqgzkd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Regression and Modeling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Polynomial Regression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Polynomial regression extends linear regression by adding polynomial terms (squared, cubed, etc.) to the model, allowing it to capture non-linear relationships.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Function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function that increases or decreases abruptly from one constant value to another.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Basis Functions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Basis functions are a set of functions used to represent or approximate other functions. Examples include polynomials, splines, and wavelets.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Splines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Splines are piecewise polynomial functions used to create smooth curves. They're useful for interpolating data and approximating complex relationships.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Smoothing Splines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Smoothing splines are similar to splines, but they aim to approximate the data without necessarily passing through every data point, which is useful for noisy data.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Local Regression (LOESS)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method that fits a separate regression model to localized subsets of the data, creating a smooth curve by combining these local models.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t8fn2fqopeuh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Link Functions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Link Functions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link function is a function that connects the linear predictor in a GLM to the expected value of the response variable. Examples include the identity link (for simple linear regression) and the logit link (for logistic regression).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Linear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η(μ)=μ.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Logistic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: η(μ)=log(μ/(1−μ)).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Poisson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η(μ)=log(μ).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lytgcx8ca4so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Families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Gaussian (Normal)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continuous data that is normally distributed.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Binomial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binary data (e.g., success/failure, presence/absence) or count data where the number of trials is fixed.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Poisson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count data where the events occur independently at a constant rate (e.g., the number of customers arriving at a store per hour).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Gamma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continuous positive data that is skewed (e.g., income, waiting times).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Inverse Gaussian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continuous positive data with a specific type of skewness.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uvwhkm9v34u6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Other Important Concepts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Maximum Likelihood Estimation (MLE)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method for estimating unknown parameters (like the probability of heads in a coin flip) by finding the parameter values that make the observed data most likely.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Bayesian Approach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An alternative to MLE that incorporates prior knowledge or beliefs about the parameters being estimated.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Local Minimum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point in a function where the function has the lowest value in its immediate neighborhood.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Global Minimum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absolute lowest point in the entire function.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