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Generalized Linear Models (GLMs) extend the traditional linear regression model to accommodate a wider range of response variables beyond continuous data. A key component of a GLM is the </w:t>
      </w: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link function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, which establishes a relationship between the linear predictor (a linear combination of predictor variables) and the expected value of the response variable.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Here's a list of common link functions and their purposes: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1. Identity Link: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Purpose: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Models the expected value of the response variable directly as the linear predictor.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Common Use: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Used for continuous response variables with a normal distribution, essentially making the GLM equivalent to ordinary least squares regression.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Mathematical Form: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shd w:fill="e9eef6" w:val="clear"/>
          <w:rtl w:val="0"/>
        </w:rPr>
        <w:t xml:space="preserve">g(μ) = μ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2. Log Link: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Purpose: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Models the logarithm of the expected value of the response variable. This ensures the predicted values are always positive.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Common Use: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Often used for count data (Poisson regression) or continuous positive data with right-skewed distributions.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Mathematical Form: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shd w:fill="e9eef6" w:val="clear"/>
          <w:rtl w:val="0"/>
        </w:rPr>
        <w:t xml:space="preserve">g(μ) = log(μ)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3. Logit Link: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Purpose: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Models the log-odds (logit) of the probability of an event. This constrains the predicted probabilities to lie between 0 and 1.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Common Use: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The standard link function for binary response variables (logistic regression).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Mathematical Form: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shd w:fill="e9eef6" w:val="clear"/>
          <w:rtl w:val="0"/>
        </w:rPr>
        <w:t xml:space="preserve">g(μ) = log(μ / (1 - μ))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4. Probit Link: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Purpose: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Similar to the logit link, it models the inverse of the cumulative distribution function (CDF) of the standard normal distribution.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Common Use: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Also used for binary response variables, often when there's an underlying latent variable with a normal distribution.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Mathematical Form: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sine" w:cs="Cousine" w:eastAsia="Cousine" w:hAnsi="Cousine"/>
          <w:color w:val="444746"/>
          <w:sz w:val="21"/>
          <w:szCs w:val="21"/>
          <w:shd w:fill="e9eef6" w:val="clear"/>
          <w:rtl w:val="0"/>
        </w:rPr>
        <w:t xml:space="preserve">g(μ) = Φ⁻¹(μ)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, where Φ⁻¹ is the inverse of the standard normal CDF.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5. Complementary Log-Log Link: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Purpose: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Models the log of the negative log of the complementary probability (1 - probability of event).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Common Use: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Suitable for binary response data, particularly when the probability of an event is very low or very high. Also used in survival analysis.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Mathematical Form: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shd w:fill="e9eef6" w:val="clear"/>
          <w:rtl w:val="0"/>
        </w:rPr>
        <w:t xml:space="preserve">g(μ) = log(-log(1 - μ))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6. Inverse Link: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Purpose: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Models the inverse of the expected value of the response variable.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Common Use: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Often used for response variables with a gamma distribution.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Mathematical Form: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4746"/>
          <w:sz w:val="21"/>
          <w:szCs w:val="21"/>
          <w:shd w:fill="e9eef6" w:val="clear"/>
          <w:rtl w:val="0"/>
        </w:rPr>
        <w:t xml:space="preserve">g(μ) = 1 / μ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7. Square Root Link: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Purpose: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Models the square root of the expected value of the response variable.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Common Use: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Can be used for count data with a Poisson distribution when variance increases faster than the mean.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Mathematical Form: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color w:val="444746"/>
          <w:sz w:val="21"/>
          <w:szCs w:val="21"/>
          <w:shd w:fill="e9eef6" w:val="clear"/>
          <w:rtl w:val="0"/>
        </w:rPr>
        <w:t xml:space="preserve">g(μ) = √μ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Choosing the Right Link Function: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The choice of link function depends on: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The nature of the response variable: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Whether it's continuous, binary, count, etc.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The distribution of the response variable: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Normal, Poisson, binomial, gamma, etc.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The desired interpretation of the model coefficients: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How changes in the predictor variables affect the response variable.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It's important to note that the link function is a crucial part of the GLM specification. Choosing an inappropriate link function can lead to biased estimates and incorrect inferences.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usin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usine-regular.ttf"/><Relationship Id="rId5" Type="http://schemas.openxmlformats.org/officeDocument/2006/relationships/font" Target="fonts/Cousine-bold.ttf"/><Relationship Id="rId6" Type="http://schemas.openxmlformats.org/officeDocument/2006/relationships/font" Target="fonts/Cousine-italic.ttf"/><Relationship Id="rId7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