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There are several terms and concepts explained throughout the document you provided. Here is a brief definition and explanation for each: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Intercept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In linear regression, the intercept is the value of the dependent variable when all independent variables are zero. It can be thought of as the starting point of the regression line.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Classification (Logistic Regression)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statistical method used to predict the probability of a binary outcome (yes or no, true or false).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Decision Tree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decision support tool that uses a tree-like model to map decisions and their possible consequences.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Decision Tree Terms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Root Node: The initial node in the decision tree.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Decision Node: A node in a decision tree where a decision is made based on a feature.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Splitting: Dividing a node into sub-nodes based on a decision rule.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Leaf/Terminal Node: A node with no children or sub-nodes.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Branch: A section of a decision tree connecting nodes.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Pruning: Eliminating branches and nodes to simplify the tree.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Parent / Children: The relationship between nodes and their sub-nodes.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Splitting Trees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process of dividing a node in a decision tree into two or more sub-nodes based on a feature, aiming to increase information gain or reduce uncertainty.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Information Gain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metric used to measure the reduction in entropy (uncertainty) achieved by splitting a dataset based on a specific feature.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Gini Impurity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measure of the probability of misclassifying a randomly chosen element from a set.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Entropy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measure of uncertainty or disorder in a dataset. In decision trees, it is used to determine the optimal splits.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Gain Ratio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modification of information gain used in decision trees to select the best feature to split on.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Random Forests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An ensemble learning method that combines multiple decision trees to improve prediction accuracy and reduce overfitting.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Ensemble Learning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machine-learning approach where multiple models are combined to solve a problem.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Hyperparameters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Parameters used to control the learning process of a machine learning model, typically set before training begins.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Grid Search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method for hyperparameter tuning where different combinations of hyperparameters are tested, and the combination with the best performance is selected.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Cross-Validation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technique used to evaluate the performance of a machine learning model on unseen data by partitioning the data into subsets for training and testing.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