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Multinomial Logistic Regression: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statistical model used to predict the probability of an instance belonging to one of three or more classes.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Confusion Matrix: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table used to evaluate the performance of a classification model. For multinomial models, it shows the counts of true and predicted classes for each class.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Multilabel Confusion Matrix: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confusion matrix specifically designed for multilabel classification problems, where each instance can belong to multiple classes simultaneously.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Classification Report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comprehensive evaluation metric that includes precision, recall, F1-score, and support for each class, as well as overall accuracy and averages.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Precision: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proportion of true positive predictions out of all positive predictions for a specific class.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Recall: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proportion of true positive predictions out of all actual positive instances for a specific class. Also known as sensitivity.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F1-Score: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harmonic mean of precision and recall, providing a balanced measure of a model's performance for a specific class.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TN (True Negative):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number of instances correctly predicted as not belonging to a specific class.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FP (False Positive):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number of instances incorrectly predicted as belonging to a specific class.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FN (False Negative):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number of instances incorrectly predicted as not belonging to a specific class.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TP (True Positive):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number of instances correctly predicted as belonging to a specific class.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Test Statistics: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Evaluation metrics used to assess the performance of a classification model.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Support: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number of actual instances belonging to a specific class in the test set.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