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9EAD" w14:textId="66E6A9DC" w:rsidR="00FB6C1C" w:rsidRDefault="00FB6C1C">
      <w:r>
        <w:rPr>
          <w:noProof/>
        </w:rPr>
        <w:drawing>
          <wp:anchor distT="0" distB="0" distL="114300" distR="114300" simplePos="0" relativeHeight="251658240" behindDoc="0" locked="0" layoutInCell="1" allowOverlap="1" wp14:anchorId="2B16CF6A" wp14:editId="176B7375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1123950" cy="1045210"/>
            <wp:effectExtent l="0" t="0" r="0" b="2540"/>
            <wp:wrapThrough wrapText="bothSides">
              <wp:wrapPolygon edited="0">
                <wp:start x="0" y="0"/>
                <wp:lineTo x="0" y="21259"/>
                <wp:lineTo x="21234" y="21259"/>
                <wp:lineTo x="21234" y="0"/>
                <wp:lineTo x="0" y="0"/>
              </wp:wrapPolygon>
            </wp:wrapThrough>
            <wp:docPr id="9038846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265C2" w14:textId="146AF932" w:rsidR="00FB6C1C" w:rsidRPr="00FB6C1C" w:rsidRDefault="00FB6C1C" w:rsidP="00FB6C1C">
      <w:pPr>
        <w:spacing w:after="0" w:line="240" w:lineRule="auto"/>
        <w:jc w:val="center"/>
        <w:rPr>
          <w:b/>
          <w:bCs/>
        </w:rPr>
      </w:pPr>
      <w:r w:rsidRPr="00FB6C1C">
        <w:rPr>
          <w:b/>
          <w:bCs/>
        </w:rPr>
        <w:t>UNIVERSIDAD DEL MAGDALENA</w:t>
      </w:r>
    </w:p>
    <w:p w14:paraId="0093583A" w14:textId="378AED29" w:rsidR="00FB6C1C" w:rsidRPr="00FB6C1C" w:rsidRDefault="00FB6C1C" w:rsidP="00FB6C1C">
      <w:pPr>
        <w:spacing w:after="0" w:line="240" w:lineRule="auto"/>
        <w:jc w:val="center"/>
        <w:rPr>
          <w:b/>
          <w:bCs/>
        </w:rPr>
      </w:pPr>
      <w:r w:rsidRPr="00FB6C1C">
        <w:rPr>
          <w:b/>
          <w:bCs/>
        </w:rPr>
        <w:t>ESPECIALIZACIÓN EN MACHINE LEARNING APLICADO</w:t>
      </w:r>
    </w:p>
    <w:p w14:paraId="77580CD3" w14:textId="714F7B20" w:rsidR="00FB6C1C" w:rsidRDefault="00FB6C1C" w:rsidP="00FB6C1C">
      <w:pPr>
        <w:spacing w:after="0"/>
        <w:jc w:val="center"/>
        <w:rPr>
          <w:b/>
          <w:bCs/>
        </w:rPr>
      </w:pPr>
      <w:r w:rsidRPr="00FB6C1C">
        <w:rPr>
          <w:b/>
          <w:bCs/>
        </w:rPr>
        <w:t>PROGRAMACIÓN PARA CIENCIA DE DATOS</w:t>
      </w:r>
    </w:p>
    <w:p w14:paraId="7A5B9E0B" w14:textId="77777777" w:rsidR="00FB6C1C" w:rsidRDefault="00FB6C1C" w:rsidP="00FB6C1C">
      <w:pPr>
        <w:spacing w:after="0"/>
        <w:jc w:val="center"/>
        <w:rPr>
          <w:b/>
          <w:bCs/>
        </w:rPr>
      </w:pPr>
    </w:p>
    <w:p w14:paraId="3055983E" w14:textId="77777777" w:rsidR="00FB6C1C" w:rsidRDefault="00FB6C1C" w:rsidP="00FB6C1C">
      <w:pPr>
        <w:spacing w:after="0"/>
        <w:jc w:val="center"/>
        <w:rPr>
          <w:b/>
          <w:bCs/>
        </w:rPr>
      </w:pPr>
    </w:p>
    <w:p w14:paraId="1FBE0946" w14:textId="77777777" w:rsidR="00E42A66" w:rsidRDefault="00E42A66" w:rsidP="00FB6C1C">
      <w:pPr>
        <w:spacing w:after="0"/>
        <w:jc w:val="center"/>
        <w:rPr>
          <w:b/>
          <w:bCs/>
        </w:rPr>
      </w:pPr>
    </w:p>
    <w:p w14:paraId="545C6E07" w14:textId="77777777" w:rsidR="00E42A66" w:rsidRDefault="00E42A66" w:rsidP="00FB6C1C">
      <w:pPr>
        <w:spacing w:after="0"/>
        <w:jc w:val="center"/>
        <w:rPr>
          <w:b/>
          <w:bCs/>
        </w:rPr>
      </w:pPr>
    </w:p>
    <w:p w14:paraId="46EA58F8" w14:textId="77777777" w:rsidR="00FB6C1C" w:rsidRPr="00FB6C1C" w:rsidRDefault="00FB6C1C" w:rsidP="00FB6C1C">
      <w:pPr>
        <w:spacing w:after="0"/>
        <w:jc w:val="center"/>
        <w:rPr>
          <w:b/>
          <w:bCs/>
        </w:rPr>
      </w:pPr>
    </w:p>
    <w:p w14:paraId="4213DDE5" w14:textId="77777777" w:rsidR="00FB6C1C" w:rsidRDefault="00FB6C1C">
      <w:pPr>
        <w:rPr>
          <w:lang w:val="pt-PT"/>
        </w:rPr>
      </w:pPr>
    </w:p>
    <w:p w14:paraId="38ECE67A" w14:textId="77777777" w:rsidR="00FB6C1C" w:rsidRPr="00FB6C1C" w:rsidRDefault="00FB6C1C">
      <w:pPr>
        <w:rPr>
          <w:lang w:val="pt-PT"/>
        </w:rPr>
      </w:pPr>
    </w:p>
    <w:p w14:paraId="369755F6" w14:textId="43E94A44" w:rsidR="008F2171" w:rsidRPr="00FB6C1C" w:rsidRDefault="00FB6C1C" w:rsidP="00E42A66">
      <w:pPr>
        <w:jc w:val="center"/>
        <w:rPr>
          <w:b/>
          <w:bCs/>
        </w:rPr>
      </w:pPr>
      <w:r w:rsidRPr="00FB6C1C">
        <w:rPr>
          <w:b/>
          <w:bCs/>
        </w:rPr>
        <w:t>I</w:t>
      </w:r>
      <w:r w:rsidR="00BA0440" w:rsidRPr="00FB6C1C">
        <w:rPr>
          <w:b/>
          <w:bCs/>
        </w:rPr>
        <w:t>NFORME</w:t>
      </w:r>
      <w:r w:rsidR="00CE6B17" w:rsidRPr="00FB6C1C">
        <w:rPr>
          <w:b/>
          <w:bCs/>
        </w:rPr>
        <w:t xml:space="preserve"> DE CODIFICACIÓN </w:t>
      </w:r>
      <w:r w:rsidR="00E42A66">
        <w:rPr>
          <w:b/>
          <w:bCs/>
        </w:rPr>
        <w:t xml:space="preserve">EN PHYTON </w:t>
      </w:r>
      <w:r w:rsidR="00CE6B17" w:rsidRPr="00FB6C1C">
        <w:rPr>
          <w:b/>
          <w:bCs/>
        </w:rPr>
        <w:t xml:space="preserve">DE BASE DE DATOS </w:t>
      </w:r>
      <w:r w:rsidR="00E42A66">
        <w:rPr>
          <w:b/>
          <w:bCs/>
        </w:rPr>
        <w:t xml:space="preserve">SOBRE EL </w:t>
      </w:r>
      <w:r w:rsidR="00CE6B17" w:rsidRPr="00FB6C1C">
        <w:rPr>
          <w:b/>
          <w:bCs/>
        </w:rPr>
        <w:t>CUMPLIMIENTO IMPUESTO PREDIAL 2007 A 2023 DE BOGOTÁ D.C.</w:t>
      </w:r>
      <w:r w:rsidRPr="00FB6C1C">
        <w:rPr>
          <w:b/>
          <w:bCs/>
        </w:rPr>
        <w:t xml:space="preserve"> Y ANÁLISIS DE RESULTADOS</w:t>
      </w:r>
      <w:r w:rsidR="00E42A66">
        <w:rPr>
          <w:b/>
          <w:bCs/>
        </w:rPr>
        <w:t xml:space="preserve"> OBTENIDOS</w:t>
      </w:r>
    </w:p>
    <w:p w14:paraId="58484C85" w14:textId="77777777" w:rsidR="00FB6C1C" w:rsidRDefault="00FB6C1C" w:rsidP="00FB6C1C">
      <w:pPr>
        <w:ind w:firstLine="4111"/>
        <w:rPr>
          <w:b/>
          <w:bCs/>
        </w:rPr>
      </w:pPr>
    </w:p>
    <w:p w14:paraId="39C755FA" w14:textId="77777777" w:rsidR="00FB6C1C" w:rsidRDefault="00FB6C1C" w:rsidP="00FB6C1C">
      <w:pPr>
        <w:ind w:firstLine="4111"/>
        <w:rPr>
          <w:b/>
          <w:bCs/>
        </w:rPr>
      </w:pPr>
    </w:p>
    <w:p w14:paraId="678CE6AF" w14:textId="77777777" w:rsidR="00FB6C1C" w:rsidRDefault="00FB6C1C" w:rsidP="00FB6C1C">
      <w:pPr>
        <w:ind w:firstLine="4111"/>
        <w:rPr>
          <w:b/>
          <w:bCs/>
        </w:rPr>
      </w:pPr>
    </w:p>
    <w:p w14:paraId="59E31F1C" w14:textId="2F3A3841" w:rsidR="00FB6C1C" w:rsidRDefault="00CE6B17" w:rsidP="00FB6C1C">
      <w:pPr>
        <w:ind w:firstLine="4111"/>
      </w:pPr>
      <w:r w:rsidRPr="00FB6C1C">
        <w:rPr>
          <w:b/>
          <w:bCs/>
        </w:rPr>
        <w:t>Autores:</w:t>
      </w:r>
      <w:r>
        <w:t xml:space="preserve"> </w:t>
      </w:r>
      <w:r w:rsidR="00FB6C1C">
        <w:t xml:space="preserve">   </w:t>
      </w:r>
      <w:r>
        <w:t>Juan Camilo Quintero Galvis</w:t>
      </w:r>
    </w:p>
    <w:p w14:paraId="0AD22977" w14:textId="77777777" w:rsidR="00FB6C1C" w:rsidRDefault="00CE6B17" w:rsidP="00FB6C1C">
      <w:pPr>
        <w:ind w:firstLine="5245"/>
      </w:pPr>
      <w:r>
        <w:t xml:space="preserve">Luis Felipe Orduz Contreras </w:t>
      </w:r>
    </w:p>
    <w:p w14:paraId="2C457D44" w14:textId="2B19760A" w:rsidR="00BA0440" w:rsidRDefault="00CE6B17" w:rsidP="00FB6C1C">
      <w:pPr>
        <w:ind w:firstLine="5245"/>
      </w:pPr>
      <w:r>
        <w:t>Rocío Tíjaro Rojas</w:t>
      </w:r>
    </w:p>
    <w:p w14:paraId="7688838B" w14:textId="77777777" w:rsidR="00FB6C1C" w:rsidRDefault="00FB6C1C"/>
    <w:p w14:paraId="79500E0F" w14:textId="77777777" w:rsidR="00FB6C1C" w:rsidRDefault="00FB6C1C"/>
    <w:p w14:paraId="3630EA20" w14:textId="77777777" w:rsidR="00FB6C1C" w:rsidRDefault="00FB6C1C"/>
    <w:p w14:paraId="4DDED586" w14:textId="4A70516F" w:rsidR="00FB6C1C" w:rsidRPr="00FB6C1C" w:rsidRDefault="00FB6C1C" w:rsidP="00FB6C1C">
      <w:pPr>
        <w:ind w:firstLine="4111"/>
        <w:rPr>
          <w:lang w:val="pt-PT"/>
        </w:rPr>
      </w:pPr>
      <w:r w:rsidRPr="00FB6C1C">
        <w:rPr>
          <w:b/>
          <w:bCs/>
          <w:lang w:val="pt-PT"/>
        </w:rPr>
        <w:t>Docente:</w:t>
      </w:r>
      <w:r w:rsidRPr="00FB6C1C">
        <w:rPr>
          <w:lang w:val="pt-PT"/>
        </w:rPr>
        <w:t xml:space="preserve">  Ph.D. Ernesto Galv</w:t>
      </w:r>
      <w:r>
        <w:rPr>
          <w:lang w:val="pt-PT"/>
        </w:rPr>
        <w:t>is Lista</w:t>
      </w:r>
    </w:p>
    <w:p w14:paraId="1E8966EC" w14:textId="77777777" w:rsidR="00FB6C1C" w:rsidRPr="00FB6C1C" w:rsidRDefault="00FB6C1C">
      <w:pPr>
        <w:rPr>
          <w:lang w:val="pt-PT"/>
        </w:rPr>
      </w:pPr>
    </w:p>
    <w:p w14:paraId="26539D58" w14:textId="77777777" w:rsidR="00FB6C1C" w:rsidRPr="00FB6C1C" w:rsidRDefault="00FB6C1C">
      <w:pPr>
        <w:rPr>
          <w:lang w:val="pt-PT"/>
        </w:rPr>
      </w:pPr>
    </w:p>
    <w:p w14:paraId="467DC142" w14:textId="77777777" w:rsidR="00FB6C1C" w:rsidRDefault="00FB6C1C">
      <w:pPr>
        <w:rPr>
          <w:lang w:val="pt-PT"/>
        </w:rPr>
      </w:pPr>
    </w:p>
    <w:p w14:paraId="2182F76F" w14:textId="77777777" w:rsidR="00FB6C1C" w:rsidRDefault="00FB6C1C">
      <w:pPr>
        <w:rPr>
          <w:lang w:val="pt-PT"/>
        </w:rPr>
      </w:pPr>
    </w:p>
    <w:p w14:paraId="1C5D8F15" w14:textId="4F89C819" w:rsidR="00FB6C1C" w:rsidRPr="00FB6C1C" w:rsidRDefault="00FB6C1C" w:rsidP="00FB6C1C">
      <w:pPr>
        <w:jc w:val="center"/>
      </w:pPr>
      <w:r w:rsidRPr="00FB6C1C">
        <w:t xml:space="preserve">Santa Marta, 15 de </w:t>
      </w:r>
      <w:proofErr w:type="gramStart"/>
      <w:r w:rsidRPr="00FB6C1C">
        <w:t>Junio</w:t>
      </w:r>
      <w:proofErr w:type="gramEnd"/>
      <w:r w:rsidRPr="00FB6C1C">
        <w:t xml:space="preserve"> d</w:t>
      </w:r>
      <w:r>
        <w:t>e 2026</w:t>
      </w:r>
    </w:p>
    <w:p w14:paraId="038240E9" w14:textId="2A5FBE07" w:rsidR="00FB6C1C" w:rsidRPr="00E42A66" w:rsidRDefault="00E42A66">
      <w:pPr>
        <w:rPr>
          <w:b/>
          <w:bCs/>
        </w:rPr>
      </w:pPr>
      <w:r w:rsidRPr="00E42A66">
        <w:rPr>
          <w:b/>
          <w:bCs/>
        </w:rPr>
        <w:lastRenderedPageBreak/>
        <w:t>INTRODUCCIÓN</w:t>
      </w:r>
    </w:p>
    <w:p w14:paraId="6842AED7" w14:textId="18A644A8" w:rsidR="00CE6B17" w:rsidRDefault="00E42A66" w:rsidP="00E42A66">
      <w:pPr>
        <w:jc w:val="both"/>
      </w:pPr>
      <w:r>
        <w:t>Para el inicio de este trabajo, d</w:t>
      </w:r>
      <w:r w:rsidR="00CE6B17">
        <w:t xml:space="preserve">e la </w:t>
      </w:r>
      <w:r>
        <w:t xml:space="preserve">página web </w:t>
      </w:r>
      <w:r w:rsidR="00CE6B17">
        <w:t xml:space="preserve">de información pública de Colombia </w:t>
      </w:r>
      <w:hyperlink r:id="rId6" w:history="1">
        <w:r w:rsidR="00CE6B17" w:rsidRPr="00E30A3A">
          <w:rPr>
            <w:rStyle w:val="Hipervnculo"/>
          </w:rPr>
          <w:t>www.datos.gov.co</w:t>
        </w:r>
      </w:hyperlink>
      <w:r w:rsidR="00CE6B17">
        <w:t>, se seleccionó una base que cumpliera con los criterios requeridos (</w:t>
      </w:r>
      <w:r w:rsidR="00CE6B17" w:rsidRPr="00AE0CBE">
        <w:t>8.000 registros y 15 variables entre numéricas y categóricas</w:t>
      </w:r>
      <w:r w:rsidR="00CE6B17">
        <w:t xml:space="preserve">).  </w:t>
      </w:r>
      <w:r>
        <w:t xml:space="preserve">El data set </w:t>
      </w:r>
      <w:r w:rsidR="00CE6B17">
        <w:t>seleccionad</w:t>
      </w:r>
      <w:r>
        <w:t>o</w:t>
      </w:r>
      <w:r w:rsidR="00CE6B17">
        <w:t xml:space="preserve"> es </w:t>
      </w:r>
      <w:hyperlink r:id="rId7" w:history="1">
        <w:r w:rsidR="00CE6B17" w:rsidRPr="00662B78">
          <w:rPr>
            <w:rStyle w:val="Hipervnculo"/>
          </w:rPr>
          <w:t>Cumplimiento Impuesto Predial. Bogotá D.C. | Datos Abiertos Colombia</w:t>
        </w:r>
      </w:hyperlink>
      <w:r>
        <w:t>,</w:t>
      </w:r>
      <w:r w:rsidR="00CE6B17">
        <w:t xml:space="preserve"> que contiene 168</w:t>
      </w:r>
      <w:r>
        <w:t>,</w:t>
      </w:r>
      <w:r w:rsidR="00CE6B17">
        <w:t xml:space="preserve">287 registros con 17 variables de las cuales ocho (8) variables son numéricas y nueve (9) son categóricas. Este data set </w:t>
      </w:r>
      <w:r>
        <w:t>sobre el c</w:t>
      </w:r>
      <w:r w:rsidR="00CE6B17" w:rsidRPr="00AE0CBE">
        <w:t xml:space="preserve">umplimiento </w:t>
      </w:r>
      <w:r>
        <w:t xml:space="preserve">en el pago del </w:t>
      </w:r>
      <w:r w:rsidR="00CE6B17" w:rsidRPr="00AE0CBE">
        <w:t>impuesto predial</w:t>
      </w:r>
      <w:r w:rsidR="00CE6B17">
        <w:t xml:space="preserve"> contiene </w:t>
      </w:r>
      <w:r w:rsidR="00CE6B17" w:rsidRPr="00AE0CBE">
        <w:t>predios obligados, no obligados, con pago oportuno o extemporáneo, predios morosos y no declarantes por</w:t>
      </w:r>
      <w:r w:rsidR="00CE6B17">
        <w:t xml:space="preserve"> código de uso (destino SHD), localidad, barrio</w:t>
      </w:r>
      <w:r>
        <w:t xml:space="preserve"> y </w:t>
      </w:r>
      <w:r w:rsidR="00CE6B17" w:rsidRPr="00AE0CBE">
        <w:t>a</w:t>
      </w:r>
      <w:r w:rsidR="00CE6B17">
        <w:t>ñ</w:t>
      </w:r>
      <w:r w:rsidR="00CE6B17" w:rsidRPr="00AE0CBE">
        <w:t>o gravable de la</w:t>
      </w:r>
      <w:r w:rsidR="00CE6B17">
        <w:t>s</w:t>
      </w:r>
      <w:r w:rsidR="00CE6B17" w:rsidRPr="00AE0CBE">
        <w:t xml:space="preserve"> vigencia</w:t>
      </w:r>
      <w:r>
        <w:t>s</w:t>
      </w:r>
      <w:r w:rsidR="00CE6B17" w:rsidRPr="00AE0CBE">
        <w:t xml:space="preserve"> 2007 a 2023</w:t>
      </w:r>
      <w:r>
        <w:t>.</w:t>
      </w:r>
    </w:p>
    <w:p w14:paraId="725FDD2A" w14:textId="2A9A82FB" w:rsidR="00E42A66" w:rsidRDefault="00E42A66" w:rsidP="00E42A66">
      <w:pPr>
        <w:jc w:val="both"/>
      </w:pPr>
      <w:r>
        <w:t>Antes de empezar a codificar es indispensable conocer el contexto de la información que se evidencia en los registros</w:t>
      </w:r>
      <w:r w:rsidR="0059076F">
        <w:t xml:space="preserve"> y el objetivo del usuario para realizar el análisis adecuado de los datos</w:t>
      </w:r>
      <w:r>
        <w:t xml:space="preserve">. </w:t>
      </w:r>
    </w:p>
    <w:p w14:paraId="3C4C1DA7" w14:textId="298A527F" w:rsidR="00802E3C" w:rsidRDefault="0059076F" w:rsidP="00B46772">
      <w:pPr>
        <w:jc w:val="both"/>
      </w:pPr>
      <w:r>
        <w:t>En Bogotá, el Impuesto Predial Unificado (IPU) es</w:t>
      </w:r>
      <w:r w:rsidRPr="0059076F">
        <w:t xml:space="preserve"> el impuesto que grava los bienes inmuebles</w:t>
      </w:r>
      <w:r w:rsidRPr="0059076F">
        <w:rPr>
          <w:b/>
          <w:bCs/>
        </w:rPr>
        <w:t>)</w:t>
      </w:r>
      <w:r w:rsidRPr="0059076F">
        <w:t xml:space="preserve"> y </w:t>
      </w:r>
      <w:r>
        <w:t xml:space="preserve">lo </w:t>
      </w:r>
      <w:r w:rsidRPr="0059076F">
        <w:t>regula</w:t>
      </w:r>
      <w:r>
        <w:t xml:space="preserve"> </w:t>
      </w:r>
      <w:r w:rsidRPr="0059076F">
        <w:t>el Estatuto Tributario Distrital</w:t>
      </w:r>
      <w:r>
        <w:t xml:space="preserve"> en el </w:t>
      </w:r>
      <w:r w:rsidRPr="0059076F">
        <w:t>Decreto Distrital 352 de 2002, Capítulo I (artículos 13 a 45), además de las actualizaciones posteriores mediante acuerdos y decretos distritales</w:t>
      </w:r>
      <w:r w:rsidR="00F13DDF">
        <w:t xml:space="preserve"> y leyes y normas nacionales</w:t>
      </w:r>
      <w:r>
        <w:t xml:space="preserve">.  Las Tarifas del IPU se establecen en los artículos 25 y 26 de dicho Decreto y dependen </w:t>
      </w:r>
      <w:r w:rsidR="00B46772">
        <w:t>El IPU lo deben pagar todos los propietarios de predios y este se calcula al multiplicar el avalúo catastral por la tarifa previamente mencionada. El avalúo catastral, a su vez, depende del área construida y área de terreno, destino económico (destino SHD), localidad, e</w:t>
      </w:r>
      <w:r w:rsidR="00B46772" w:rsidRPr="00B46772">
        <w:t>strato</w:t>
      </w:r>
      <w:r w:rsidR="00B46772">
        <w:t xml:space="preserve"> y año gravable</w:t>
      </w:r>
      <w:r w:rsidR="00802E3C">
        <w:t>. Este mismo decreto establece en su</w:t>
      </w:r>
      <w:r w:rsidR="0040489A">
        <w:t>s</w:t>
      </w:r>
      <w:r w:rsidR="00802E3C">
        <w:t xml:space="preserve"> artículo</w:t>
      </w:r>
      <w:r w:rsidR="0040489A">
        <w:t>s</w:t>
      </w:r>
      <w:r w:rsidR="00802E3C">
        <w:t xml:space="preserve"> 19 </w:t>
      </w:r>
      <w:r w:rsidR="0040489A">
        <w:t xml:space="preserve">y 28 </w:t>
      </w:r>
      <w:r w:rsidR="00802E3C">
        <w:t xml:space="preserve">los predios que no declaran y están exentos de pago del IPU siendo estos: </w:t>
      </w:r>
      <w:r w:rsidR="00802E3C" w:rsidRPr="00802E3C">
        <w:t>a) Los salones comunales de propiedad de las Juntas de Acción Comunal</w:t>
      </w:r>
      <w:r w:rsidR="00802E3C">
        <w:t xml:space="preserve">; </w:t>
      </w:r>
      <w:r w:rsidR="00802E3C" w:rsidRPr="00802E3C">
        <w:t>b) Los predios edificados residenciales de los estratos 1 y 2 cuyo avalúo catastral sea inferior a tres millones de pesos ($3.000.000)</w:t>
      </w:r>
      <w:r w:rsidR="00802E3C">
        <w:t xml:space="preserve">; </w:t>
      </w:r>
      <w:r w:rsidR="00802E3C" w:rsidRPr="00802E3C">
        <w:t>c) Las tumbas y bóvedas de los cementerios, siempre y cuando no sean de propiedad de los parques cementerio</w:t>
      </w:r>
      <w:r w:rsidR="00802E3C">
        <w:t xml:space="preserve">; </w:t>
      </w:r>
      <w:r w:rsidR="00802E3C" w:rsidRPr="00802E3C">
        <w:t>d) Los inmuebles de propiedad de la iglesia católica, destinados al culto y vivienda de las comunidades religiosas, a las curias diocesanas y arquidiocesanas, casas episcopales y curales, y seminarios conciliares</w:t>
      </w:r>
      <w:r w:rsidR="00802E3C">
        <w:t xml:space="preserve">; </w:t>
      </w:r>
      <w:r w:rsidR="00802E3C" w:rsidRPr="00802E3C">
        <w:t>e) Los inmuebles de propiedad de otras iglesias diferentes a la católica, reconocidas por el Estado Colombiano y destinadas al culto, a las casas pastorales, seminarios y sedes conciliares</w:t>
      </w:r>
      <w:r w:rsidR="0040489A">
        <w:t>; f</w:t>
      </w:r>
      <w:r w:rsidR="0040489A" w:rsidRPr="0040489A">
        <w:t>) Los edificios declarados específicamente como monumentos nacionales por el consejo del ramo, siempre y cuando el sujeto pasivo del tributo no tenga ánimo de lucro</w:t>
      </w:r>
      <w:r w:rsidR="0040489A">
        <w:t>; h</w:t>
      </w:r>
      <w:r w:rsidR="0040489A" w:rsidRPr="0040489A">
        <w:t xml:space="preserve">) Los edificios sometidos a los tratamientos especiales de conservación histórica, artística, o arquitectónica, durante el tiempo en el que se mantengan bajo el imperio de las normas </w:t>
      </w:r>
      <w:r w:rsidR="0040489A" w:rsidRPr="0040489A">
        <w:t>específicas</w:t>
      </w:r>
      <w:r w:rsidR="0040489A" w:rsidRPr="0040489A">
        <w:t xml:space="preserve"> de dichos tratamientos</w:t>
      </w:r>
      <w:r w:rsidR="0040489A">
        <w:t>; i</w:t>
      </w:r>
      <w:r w:rsidR="0040489A" w:rsidRPr="0040489A">
        <w:t xml:space="preserve">) Los inmuebles de propiedad de las entidades sindicales de trabajadores, de primero, </w:t>
      </w:r>
      <w:r w:rsidR="0040489A" w:rsidRPr="0040489A">
        <w:lastRenderedPageBreak/>
        <w:t>segundo y tercer grado, destinados a la actividad sindical</w:t>
      </w:r>
      <w:r w:rsidR="0040489A">
        <w:t>, j</w:t>
      </w:r>
      <w:r w:rsidR="0040489A" w:rsidRPr="0040489A">
        <w:t>) Los inmuebles de propiedad del Distrito Capital de Bogotá destinados a cumplir las funciones propias de la creación de cada dependencia, así como los destinados a la conservación de hoyas, canales y conducción de aguas, embalses, colectores de alcantarillado, tanques, plantas de purificación, servidumbres activas, plantas de energía y de teléfonos, vías de uso público y sobrantes de construcciones</w:t>
      </w:r>
      <w:r w:rsidR="0040489A">
        <w:t>, k</w:t>
      </w:r>
      <w:r w:rsidR="0040489A" w:rsidRPr="0040489A">
        <w:t xml:space="preserve">) Los inmuebles que en su integridad se destinen exclusivamente y con carácter de permanencia por las entidades de beneficencia y asistencia pública y las de utilidad pública de interés social destinados exclusivamente a servicios de hospitalización, </w:t>
      </w:r>
      <w:proofErr w:type="spellStart"/>
      <w:r w:rsidR="0040489A" w:rsidRPr="0040489A">
        <w:t>salacunas</w:t>
      </w:r>
      <w:proofErr w:type="spellEnd"/>
      <w:r w:rsidR="0040489A" w:rsidRPr="0040489A">
        <w:t>, guarderías, y asilos, así como los inmuebles de las fundaciones de derecho público o de derecho privado cuyo objeto sea exclusivamente la atención a la salud y la educación especial de niños y jóvenes con deficiencias de carácter físico, mental y psicológico, reconocidas por la autoridad competente, estarán exentas por el término a que se refiere el artículo primero del Acuerdo 9 de 1993, en un ciento por ciento, del valor del impuesto predial unificado a pagar por la respectiva entidad por ese predio en el correspondiente año fiscal</w:t>
      </w:r>
      <w:r w:rsidR="0040489A">
        <w:t>; l</w:t>
      </w:r>
      <w:r w:rsidR="0040489A" w:rsidRPr="0040489A">
        <w:t>) Las personas naturales y jurídicas, así como las sociedades de hecho, damnificadas a consecuencia de actos terroristas o catástrofes naturales ocurridas en el Distrito Capital, respecto de los bienes que resulten afectados en las mismas, en las condiciones que para el efecto se establezcan en el decreto reglamentario</w:t>
      </w:r>
      <w:r w:rsidR="0040489A">
        <w:t>; m</w:t>
      </w:r>
      <w:r w:rsidR="0040489A" w:rsidRPr="0040489A">
        <w:t>) Las edificaciones nuevas que se construyan en el área urbana del Distrito Capital de Bogotá para estacionamientos públicos, entre el 21 de diciembre de 1998 y el 31 de diciembre del año 2001, estarán exentas del pago del impuesto predial unificado, por un término de diez (10) años contados a partir del año siguiente a la terminación de la construcción</w:t>
      </w:r>
      <w:r w:rsidR="0040489A">
        <w:t xml:space="preserve"> </w:t>
      </w:r>
      <w:r w:rsidR="00802E3C">
        <w:t>(</w:t>
      </w:r>
      <w:hyperlink r:id="rId8" w:history="1">
        <w:r w:rsidR="00802E3C" w:rsidRPr="00E30A3A">
          <w:rPr>
            <w:rStyle w:val="Hipervnculo"/>
          </w:rPr>
          <w:t>https://compilacionjuridica.shd.gov.co</w:t>
        </w:r>
      </w:hyperlink>
      <w:r w:rsidR="00802E3C">
        <w:t>)</w:t>
      </w:r>
      <w:r w:rsidR="00B46772">
        <w:t>.</w:t>
      </w:r>
      <w:r w:rsidR="00802E3C">
        <w:t xml:space="preserve"> </w:t>
      </w:r>
    </w:p>
    <w:p w14:paraId="1F0F1807" w14:textId="7A3AE460" w:rsidR="00802E3C" w:rsidRDefault="00802E3C" w:rsidP="0040489A">
      <w:pPr>
        <w:jc w:val="both"/>
      </w:pPr>
      <w:r>
        <w:t xml:space="preserve">El recaudo de este impuesto administrado por el Distrito </w:t>
      </w:r>
      <w:proofErr w:type="gramStart"/>
      <w:r>
        <w:t>Capital,</w:t>
      </w:r>
      <w:proofErr w:type="gramEnd"/>
      <w:r>
        <w:t xml:space="preserve"> se distribuye </w:t>
      </w:r>
      <w:r w:rsidRPr="00802E3C">
        <w:t>conforme al Plan de Desarrollo y al presupuesto anual aprobado</w:t>
      </w:r>
      <w:r>
        <w:t xml:space="preserve"> en rubros como </w:t>
      </w:r>
      <w:r w:rsidR="0040489A">
        <w:t>a) e</w:t>
      </w:r>
      <w:r w:rsidR="0040489A" w:rsidRPr="0040489A">
        <w:t>ducación pública</w:t>
      </w:r>
      <w:r w:rsidR="0040489A">
        <w:t>; b) s</w:t>
      </w:r>
      <w:r w:rsidR="0040489A" w:rsidRPr="0040489A">
        <w:t>alud</w:t>
      </w:r>
      <w:r w:rsidR="0040489A">
        <w:t>; c)</w:t>
      </w:r>
      <w:r w:rsidR="0040489A" w:rsidRPr="0040489A">
        <w:t xml:space="preserve"> </w:t>
      </w:r>
      <w:r w:rsidR="0040489A">
        <w:t>i</w:t>
      </w:r>
      <w:r w:rsidR="0040489A" w:rsidRPr="0040489A">
        <w:t>nfraestructura vial</w:t>
      </w:r>
      <w:r w:rsidR="0040489A">
        <w:t>; d) e</w:t>
      </w:r>
      <w:r w:rsidR="0040489A" w:rsidRPr="0040489A">
        <w:t>spacio público</w:t>
      </w:r>
      <w:r w:rsidR="0040489A">
        <w:t>, e) s</w:t>
      </w:r>
      <w:r w:rsidR="0040489A" w:rsidRPr="0040489A">
        <w:t>eguridad y convivencia</w:t>
      </w:r>
      <w:r w:rsidR="0040489A">
        <w:t>; f) mo</w:t>
      </w:r>
      <w:r w:rsidR="0040489A" w:rsidRPr="0040489A">
        <w:t>vilidad y transporte</w:t>
      </w:r>
      <w:r w:rsidR="0040489A">
        <w:t>, g) p</w:t>
      </w:r>
      <w:r w:rsidR="0040489A" w:rsidRPr="0040489A">
        <w:t>rogramas sociales</w:t>
      </w:r>
      <w:r w:rsidR="0040489A">
        <w:t>, h) g</w:t>
      </w:r>
      <w:r w:rsidR="0040489A" w:rsidRPr="0040489A">
        <w:t>estión ambiental y parque</w:t>
      </w:r>
      <w:r w:rsidR="0040489A">
        <w:t>s, entre otros.</w:t>
      </w:r>
    </w:p>
    <w:p w14:paraId="7B6655EB" w14:textId="698FB35A" w:rsidR="0040489A" w:rsidRPr="0040489A" w:rsidRDefault="0040489A" w:rsidP="0040489A">
      <w:pPr>
        <w:jc w:val="both"/>
      </w:pPr>
      <w:r w:rsidRPr="0040489A">
        <w:t xml:space="preserve">Como administrador público de este recaudo, es importante conocer </w:t>
      </w:r>
      <w:r>
        <w:t>los pagos p</w:t>
      </w:r>
      <w:r w:rsidRPr="0040489A">
        <w:t>romedio por unidad predial</w:t>
      </w:r>
      <w:r>
        <w:t xml:space="preserve"> y tipo de destino y categorizar en qué umbrales se encuentran los recaudos altos medios y bajos, para tomar decisiones que hagan más efectivo el cumplimiento para su reinversión en obras para los ciudadanos. </w:t>
      </w:r>
    </w:p>
    <w:p w14:paraId="1FFB14FB" w14:textId="77777777" w:rsidR="0040489A" w:rsidRPr="0040489A" w:rsidRDefault="0040489A" w:rsidP="0040489A">
      <w:pPr>
        <w:jc w:val="both"/>
      </w:pPr>
      <w:r w:rsidRPr="0040489A">
        <w:t> </w:t>
      </w:r>
    </w:p>
    <w:p w14:paraId="5DB22454" w14:textId="7E60975A" w:rsidR="00F13DDF" w:rsidRPr="0040489A" w:rsidRDefault="0040489A" w:rsidP="0040489A">
      <w:pPr>
        <w:jc w:val="both"/>
      </w:pPr>
      <w:r w:rsidRPr="0040489A">
        <w:t> </w:t>
      </w:r>
    </w:p>
    <w:sectPr w:rsidR="00F13DDF" w:rsidRPr="004048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714F4"/>
    <w:multiLevelType w:val="hybridMultilevel"/>
    <w:tmpl w:val="B9F0BA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F315D"/>
    <w:multiLevelType w:val="multilevel"/>
    <w:tmpl w:val="F10AC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953745">
    <w:abstractNumId w:val="0"/>
  </w:num>
  <w:num w:numId="2" w16cid:durableId="21635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40"/>
    <w:rsid w:val="0040489A"/>
    <w:rsid w:val="004B4EB8"/>
    <w:rsid w:val="0059076F"/>
    <w:rsid w:val="007C74D8"/>
    <w:rsid w:val="00802E3C"/>
    <w:rsid w:val="008F2171"/>
    <w:rsid w:val="00AF087D"/>
    <w:rsid w:val="00B46772"/>
    <w:rsid w:val="00BA0440"/>
    <w:rsid w:val="00CE6B17"/>
    <w:rsid w:val="00E275E9"/>
    <w:rsid w:val="00E42A66"/>
    <w:rsid w:val="00F13DDF"/>
    <w:rsid w:val="00FB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2A732"/>
  <w15:chartTrackingRefBased/>
  <w15:docId w15:val="{83F60B19-6EFE-4182-B4FB-C9F0A79D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4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4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4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4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4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4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4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4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6B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E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2E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ilacionjuridica.shd.gov.c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os.gov.co/dataset/Cumplimiento-Impuesto-Predial-Bogot-D-C-/vecj-sxax/about_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atos.gov.co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963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del Pilar Tijaro Rojas</dc:creator>
  <cp:keywords/>
  <dc:description/>
  <cp:lastModifiedBy>Rocío del Pilar Tijaro Rojas</cp:lastModifiedBy>
  <cp:revision>6</cp:revision>
  <dcterms:created xsi:type="dcterms:W3CDTF">2026-06-12T00:51:00Z</dcterms:created>
  <dcterms:modified xsi:type="dcterms:W3CDTF">2026-06-12T02:04:00Z</dcterms:modified>
</cp:coreProperties>
</file>