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4a02d93ff08e217b05878a73d734e6f3a01bd6"/>
    <w:p>
      <w:pPr>
        <w:pStyle w:val="Heading1"/>
      </w:pPr>
      <w:r>
        <w:t xml:space="preserve">PURE Power Africa – Deep Research Report (Six Deliverables)</w:t>
      </w:r>
    </w:p>
    <w:p>
      <w:pPr>
        <w:pStyle w:val="FirstParagraph"/>
      </w:pPr>
      <w:r>
        <w:t xml:space="preserve">Prepared for Michael Fichtenberg | 7 August 2026</w:t>
      </w:r>
    </w:p>
    <w:p>
      <w:pPr>
        <w:pStyle w:val="BodyText"/>
      </w:pPr>
      <w:r>
        <w:rPr>
          <w:bCs/>
          <w:b/>
        </w:rPr>
        <w:t xml:space="preserve">TL;DR</w:t>
      </w:r>
      <w:r>
        <w:t xml:space="preserve"> </w:t>
      </w:r>
      <w:r>
        <w:t xml:space="preserve">- PURE Power Africa’s core institutional building blocks are verified and unusually well-aligned: TDB Group is genuinely headquartered in Bujumbura; Burundi holds the AU Chairmanship for 2026 (President Evariste Ndayishimiye, elected at the 39th Ordinary Session of the AU Assembly in Addis Ababa on 14–15 Feb 2026, succeeding Angola’s Joao Lourenco); Burundi signed its Mission 300 National Energy Compact in Sept 2025 (Cohort 2); CEFORE-RUSI is a real 142-ha presidential-project campus in Karuzi; and AAIN is a bona fide AU-DREABE technical partner covering all 54 member states – together these give the program a credible HQ, host site, funding rails, and partner network.</w:t>
      </w:r>
      <w:r>
        <w:t xml:space="preserve"> </w:t>
      </w:r>
      <w:r>
        <w:t xml:space="preserve">- The strongest funding path is to route catalytic/grant money and IDA/concessional finance through government-endorsed channels (Mission 300 compact, ASCENT Burundi P181494, AfDB SEFA/PEAPJF precedent), replicating the Weza Power designation pathway (Entente Directe, Ministry of Justice legal opinion, named in the World Bank ASCENT program), while using TDB’s TDF concessional window and ESATAL/ESATF for trade/SME finance and TDB Academy for training.</w:t>
      </w:r>
      <w:r>
        <w:t xml:space="preserve"> </w:t>
      </w:r>
      <w:r>
        <w:t xml:space="preserve">- The biggest risks and gaps are execution-side: partner agricultural-research networks across Africa have physical rural reach but were NOT built to own energy infrastructure, so buildout capital is required at every hub; and a few data points (whether</w:t>
      </w:r>
      <w:r>
        <w:t xml:space="preserve"> </w:t>
      </w:r>
      <w:r>
        <w:t xml:space="preserve">“</w:t>
      </w:r>
      <w:r>
        <w:t xml:space="preserve">TCF</w:t>
      </w:r>
      <w:r>
        <w:t xml:space="preserve">”</w:t>
      </w:r>
      <w:r>
        <w:t xml:space="preserve"> </w:t>
      </w:r>
      <w:r>
        <w:t xml:space="preserve">is a real TDB acronym, whether Mastercard Foundation runs a dedicated Burundi country program, current CEFORE live staffing) remain thin and are flagged.</w:t>
      </w:r>
    </w:p>
    <w:p>
      <w:r>
        <w:pict>
          <v:rect style="width:0;height:1.5pt" o:hralign="center" o:hrstd="t" o:hr="t"/>
        </w:pict>
      </w:r>
    </w:p>
    <w:bookmarkStart w:id="27" w:name="X4bb75ef65c22ed64b0928c8a0a4f367342c5b57"/>
    <w:p>
      <w:pPr>
        <w:pStyle w:val="Heading2"/>
      </w:pPr>
      <w:r>
        <w:t xml:space="preserve">DELIVERABLE 1 – Pan-African Country-by-Country Partner Mapping</w:t>
      </w:r>
    </w:p>
    <w:p>
      <w:pPr>
        <w:pStyle w:val="FirstParagraph"/>
      </w:pPr>
      <w:r>
        <w:rPr>
          <w:bCs/>
          <w:b/>
        </w:rPr>
        <w:t xml:space="preserve">Framing note (for AAIN-facing use):</w:t>
      </w:r>
      <w:r>
        <w:t xml:space="preserve"> </w:t>
      </w:r>
      <w:r>
        <w:t xml:space="preserve">The organizations below were built for agricultural research, extension, cooperative aggregation, or humanitarian response – not to own solar plants or cold-chain assets. Their value to PURE Power Africa is their physical rural footprint (research stations, demonstration farms, cooperative branches, field offices) and trusted last-mile presence. Each is a candidate host or anchor onto which agro-energy hubs can be built out over time with dedicated funding. Where a national agribusiness incubator is an AAIN member/affiliate, that is the natural first door.</w:t>
      </w:r>
    </w:p>
    <w:bookmarkStart w:id="20" w:name="continental-anchor"/>
    <w:p>
      <w:pPr>
        <w:pStyle w:val="Heading3"/>
      </w:pPr>
      <w:r>
        <w:t xml:space="preserve">Continental anchor</w:t>
      </w:r>
    </w:p>
    <w:p>
      <w:pPr>
        <w:pStyle w:val="FirstParagraph"/>
      </w:pPr>
      <w:r>
        <w:t xml:space="preserve">AAIN (African Agribusiness Incubators Network) – registered in Accra, Ghana (formed 2014, registered 2015); a technical partner of the AU Commission’s Department of Rural Economy, Agriculture and Blue Economy (AU-DREABE) for agribusiness incubation/acceleration, implementing the African Agribusiness Incubation Programme (AAIP) across all 54 AU member states. Regional/contact offices in Kenya, Rwanda, Mali, Uganda, South Africa, Senegal, Zambia and Benin. CEO: Prof. Alex Ariho. Technical base cited at 15 in-house experts, 50+ associate consultants, ~510 mentors, 100+ field experts; affiliations with 158 universities. AAIN also runs the African Agribusiness Incubation Fund (AAIF).</w:t>
      </w:r>
    </w:p>
    <w:bookmarkEnd w:id="20"/>
    <w:bookmarkStart w:id="21" w:name="electrification-context"/>
    <w:p>
      <w:pPr>
        <w:pStyle w:val="Heading3"/>
      </w:pPr>
      <w:r>
        <w:t xml:space="preserve">Electrification context</w:t>
      </w:r>
    </w:p>
    <w:p>
      <w:pPr>
        <w:pStyle w:val="FirstParagraph"/>
      </w:pPr>
      <w:r>
        <w:t xml:space="preserve">Sub-Saharan rural access averages ~26%. Per ESMAP’s Tracking SDG7, the deficits in Nigeria (86.6 million), the Democratic Republic of Congo (79.6 million), and Ethiopia (56.4 million) accounted for more than one-third of the world’s population without electricity; of the 30 largest-deficit countries, 24 are in Sub-Saharan Africa.</w:t>
      </w:r>
    </w:p>
    <w:bookmarkEnd w:id="21"/>
    <w:bookmarkStart w:id="22" w:name="west-africa"/>
    <w:p>
      <w:pPr>
        <w:pStyle w:val="Heading3"/>
      </w:pPr>
      <w:r>
        <w:t xml:space="preserve">West Africa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Country</w:t>
            </w:r>
          </w:p>
        </w:tc>
        <w:tc>
          <w:tcPr/>
          <w:p>
            <w:pPr>
              <w:pStyle w:val="Compact"/>
              <w:jc w:val="left"/>
            </w:pPr>
            <w:r>
              <w:t xml:space="preserve">Elec. access (total / rural)</w:t>
            </w:r>
          </w:p>
        </w:tc>
        <w:tc>
          <w:tcPr/>
          <w:p>
            <w:pPr>
              <w:pStyle w:val="Compact"/>
              <w:jc w:val="left"/>
            </w:pPr>
            <w:r>
              <w:t xml:space="preserve">Lead organization(s)</w:t>
            </w:r>
          </w:p>
        </w:tc>
        <w:tc>
          <w:tcPr/>
          <w:p>
            <w:pPr>
              <w:pStyle w:val="Compact"/>
              <w:jc w:val="left"/>
            </w:pPr>
            <w:r>
              <w:t xml:space="preserve">Physical footprint evidence</w:t>
            </w:r>
          </w:p>
        </w:tc>
        <w:tc>
          <w:tcPr/>
          <w:p>
            <w:pPr>
              <w:pStyle w:val="Compact"/>
              <w:jc w:val="left"/>
            </w:pPr>
            <w:r>
              <w:t xml:space="preserve">Buildout need</w:t>
            </w:r>
          </w:p>
        </w:tc>
      </w:tr>
      <w:tr>
        <w:tc>
          <w:tcPr/>
          <w:p>
            <w:pPr>
              <w:pStyle w:val="Compact"/>
              <w:jc w:val="left"/>
            </w:pPr>
            <w:r>
              <w:t xml:space="preserve">Nigeria</w:t>
            </w:r>
          </w:p>
        </w:tc>
        <w:tc>
          <w:tcPr/>
          <w:p>
            <w:pPr>
              <w:pStyle w:val="Compact"/>
              <w:jc w:val="left"/>
            </w:pPr>
            <w:r>
              <w:t xml:space="preserve">~58% / ~22%</w:t>
            </w:r>
          </w:p>
        </w:tc>
        <w:tc>
          <w:tcPr/>
          <w:p>
            <w:pPr>
              <w:pStyle w:val="Compact"/>
              <w:jc w:val="left"/>
            </w:pPr>
            <w:r>
              <w:t xml:space="preserve">Agricultural Research Council of Nigeria (ARCN); IITA (Ibadan HQ); IAR (ABU Zaria)</w:t>
            </w:r>
          </w:p>
        </w:tc>
        <w:tc>
          <w:tcPr/>
          <w:p>
            <w:pPr>
              <w:pStyle w:val="Compact"/>
              <w:jc w:val="left"/>
            </w:pPr>
            <w:r>
              <w:t xml:space="preserve">ARCN coordinates 15+ national research institutes + Federal Colleges of Agriculture; IITA HQ + stations across Africa</w:t>
            </w:r>
          </w:p>
        </w:tc>
        <w:tc>
          <w:tcPr/>
          <w:p>
            <w:pPr>
              <w:pStyle w:val="Compact"/>
              <w:jc w:val="left"/>
            </w:pPr>
            <w:r>
              <w:t xml:space="preserve">Energy assets to be added at every site</w:t>
            </w:r>
          </w:p>
        </w:tc>
      </w:tr>
      <w:tr>
        <w:tc>
          <w:tcPr/>
          <w:p>
            <w:pPr>
              <w:pStyle w:val="Compact"/>
              <w:jc w:val="left"/>
            </w:pPr>
            <w:r>
              <w:t xml:space="preserve">Ghana</w:t>
            </w:r>
          </w:p>
        </w:tc>
        <w:tc>
          <w:tcPr/>
          <w:p>
            <w:pPr>
              <w:pStyle w:val="Compact"/>
              <w:jc w:val="left"/>
            </w:pPr>
            <w:r>
              <w:t xml:space="preserve">~89% / ~78%</w:t>
            </w:r>
          </w:p>
        </w:tc>
        <w:tc>
          <w:tcPr/>
          <w:p>
            <w:pPr>
              <w:pStyle w:val="Compact"/>
              <w:jc w:val="left"/>
            </w:pPr>
            <w:r>
              <w:t xml:space="preserve">CSIR-Ghana; AAIN (HQ)</w:t>
            </w:r>
          </w:p>
        </w:tc>
        <w:tc>
          <w:tcPr/>
          <w:p>
            <w:pPr>
              <w:pStyle w:val="Compact"/>
              <w:jc w:val="left"/>
            </w:pPr>
            <w:r>
              <w:t xml:space="preserve">CSIR runs 13 institutes with 60+ field stations/centres</w:t>
            </w:r>
          </w:p>
        </w:tc>
        <w:tc>
          <w:tcPr/>
          <w:p>
            <w:pPr>
              <w:pStyle w:val="Compact"/>
              <w:jc w:val="left"/>
            </w:pPr>
            <w:r>
              <w:t xml:space="preserve">Higher access – good for early productive-use pilots</w:t>
            </w:r>
          </w:p>
        </w:tc>
      </w:tr>
      <w:tr>
        <w:tc>
          <w:tcPr/>
          <w:p>
            <w:pPr>
              <w:pStyle w:val="Compact"/>
              <w:jc w:val="left"/>
            </w:pPr>
            <w:r>
              <w:t xml:space="preserve">Senegal</w:t>
            </w:r>
          </w:p>
        </w:tc>
        <w:tc>
          <w:tcPr/>
          <w:p>
            <w:pPr>
              <w:pStyle w:val="Compact"/>
              <w:jc w:val="left"/>
            </w:pPr>
            <w:r>
              <w:t xml:space="preserve">~68% / ~43%</w:t>
            </w:r>
          </w:p>
        </w:tc>
        <w:tc>
          <w:tcPr/>
          <w:p>
            <w:pPr>
              <w:pStyle w:val="Compact"/>
              <w:jc w:val="left"/>
            </w:pPr>
            <w:r>
              <w:t xml:space="preserve">Institut Senegalais de Recherches Agricoles (ISRA)</w:t>
            </w:r>
          </w:p>
        </w:tc>
        <w:tc>
          <w:tcPr/>
          <w:p>
            <w:pPr>
              <w:pStyle w:val="Compact"/>
              <w:jc w:val="left"/>
            </w:pPr>
            <w:r>
              <w:t xml:space="preserve">~14 centres/labs across all six eco-geographic zones + PAPEM pre-extension points</w:t>
            </w:r>
          </w:p>
        </w:tc>
        <w:tc>
          <w:tcPr/>
          <w:p>
            <w:pPr>
              <w:pStyle w:val="Compact"/>
              <w:jc w:val="left"/>
            </w:pPr>
            <w:r>
              <w:t xml:space="preserve">Solar + cold chain buildout</w:t>
            </w:r>
          </w:p>
        </w:tc>
      </w:tr>
      <w:tr>
        <w:tc>
          <w:tcPr/>
          <w:p>
            <w:pPr>
              <w:pStyle w:val="Compact"/>
              <w:jc w:val="left"/>
            </w:pPr>
            <w:r>
              <w:t xml:space="preserve">Cote d’Ivoire</w:t>
            </w:r>
          </w:p>
        </w:tc>
        <w:tc>
          <w:tcPr/>
          <w:p>
            <w:pPr>
              <w:pStyle w:val="Compact"/>
              <w:jc w:val="left"/>
            </w:pPr>
            <w:r>
              <w:t xml:space="preserve">~71% / ~45%</w:t>
            </w:r>
          </w:p>
        </w:tc>
        <w:tc>
          <w:tcPr/>
          <w:p>
            <w:pPr>
              <w:pStyle w:val="Compact"/>
              <w:jc w:val="left"/>
            </w:pPr>
            <w:r>
              <w:t xml:space="preserve">Centre National de Recherche Agronomique (CNRA)</w:t>
            </w:r>
          </w:p>
        </w:tc>
        <w:tc>
          <w:tcPr/>
          <w:p>
            <w:pPr>
              <w:pStyle w:val="Compact"/>
              <w:jc w:val="left"/>
            </w:pPr>
            <w:r>
              <w:t xml:space="preserve">20 research stations under 5 regional directorates</w:t>
            </w:r>
          </w:p>
        </w:tc>
        <w:tc>
          <w:tcPr/>
          <w:p>
            <w:pPr>
              <w:pStyle w:val="Compact"/>
              <w:jc w:val="left"/>
            </w:pPr>
            <w:r>
              <w:t xml:space="preserve">Signed Mission 300 compact (Cohort 1)</w:t>
            </w:r>
          </w:p>
        </w:tc>
      </w:tr>
      <w:tr>
        <w:tc>
          <w:tcPr/>
          <w:p>
            <w:pPr>
              <w:pStyle w:val="Compact"/>
              <w:jc w:val="left"/>
            </w:pPr>
            <w:r>
              <w:t xml:space="preserve">Mali</w:t>
            </w:r>
          </w:p>
        </w:tc>
        <w:tc>
          <w:tcPr/>
          <w:p>
            <w:pPr>
              <w:pStyle w:val="Compact"/>
              <w:jc w:val="left"/>
            </w:pPr>
            <w:r>
              <w:t xml:space="preserve">~53% / ~18%</w:t>
            </w:r>
          </w:p>
        </w:tc>
        <w:tc>
          <w:tcPr/>
          <w:p>
            <w:pPr>
              <w:pStyle w:val="Compact"/>
              <w:jc w:val="left"/>
            </w:pPr>
            <w:r>
              <w:t xml:space="preserve">Institut d’Economie Rurale (IER)</w:t>
            </w:r>
          </w:p>
        </w:tc>
        <w:tc>
          <w:tcPr/>
          <w:p>
            <w:pPr>
              <w:pStyle w:val="Compact"/>
              <w:jc w:val="left"/>
            </w:pPr>
            <w:r>
              <w:t xml:space="preserve">6 regional centres (CRRA), 8 stations, 13 substations</w:t>
            </w:r>
          </w:p>
        </w:tc>
        <w:tc>
          <w:tcPr/>
          <w:p>
            <w:pPr>
              <w:pStyle w:val="Compact"/>
              <w:jc w:val="left"/>
            </w:pPr>
            <w:r>
              <w:t xml:space="preserve">High rural gap; strong hub case</w:t>
            </w:r>
          </w:p>
        </w:tc>
      </w:tr>
      <w:tr>
        <w:tc>
          <w:tcPr/>
          <w:p>
            <w:pPr>
              <w:pStyle w:val="Compact"/>
              <w:jc w:val="left"/>
            </w:pPr>
            <w:r>
              <w:t xml:space="preserve">Benin</w:t>
            </w:r>
          </w:p>
        </w:tc>
        <w:tc>
          <w:tcPr/>
          <w:p>
            <w:pPr>
              <w:pStyle w:val="Compact"/>
              <w:jc w:val="left"/>
            </w:pPr>
            <w:r>
              <w:t xml:space="preserve">mid</w:t>
            </w:r>
          </w:p>
        </w:tc>
        <w:tc>
          <w:tcPr/>
          <w:p>
            <w:pPr>
              <w:pStyle w:val="Compact"/>
              <w:jc w:val="left"/>
            </w:pPr>
            <w:r>
              <w:t xml:space="preserve">Institut National des Recherches Agricoles du Benin (INRAB); Universite Nationale d’Agriculture</w:t>
            </w:r>
          </w:p>
        </w:tc>
        <w:tc>
          <w:tcPr/>
          <w:p>
            <w:pPr>
              <w:pStyle w:val="Compact"/>
              <w:jc w:val="left"/>
            </w:pPr>
            <w:r>
              <w:t xml:space="preserve">Regional research centres across agro-ecological zones</w:t>
            </w:r>
          </w:p>
        </w:tc>
        <w:tc>
          <w:tcPr/>
          <w:p>
            <w:pPr>
              <w:pStyle w:val="Compact"/>
              <w:jc w:val="left"/>
            </w:pPr>
            <w:r>
              <w:t xml:space="preserve">AAIN office present</w:t>
            </w:r>
          </w:p>
        </w:tc>
      </w:tr>
      <w:tr>
        <w:tc>
          <w:tcPr/>
          <w:p>
            <w:pPr>
              <w:pStyle w:val="Compact"/>
              <w:jc w:val="left"/>
            </w:pPr>
            <w:r>
              <w:t xml:space="preserve">Burkina Faso</w:t>
            </w:r>
          </w:p>
        </w:tc>
        <w:tc>
          <w:tcPr/>
          <w:p>
            <w:pPr>
              <w:pStyle w:val="Compact"/>
              <w:jc w:val="left"/>
            </w:pPr>
            <w:r>
              <w:t xml:space="preserve">low</w:t>
            </w:r>
          </w:p>
        </w:tc>
        <w:tc>
          <w:tcPr/>
          <w:p>
            <w:pPr>
              <w:pStyle w:val="Compact"/>
              <w:jc w:val="left"/>
            </w:pPr>
            <w:r>
              <w:t xml:space="preserve">Institut de l’Environnement et de Recherches Agricoles (INERA)</w:t>
            </w:r>
          </w:p>
        </w:tc>
        <w:tc>
          <w:tcPr/>
          <w:p>
            <w:pPr>
              <w:pStyle w:val="Compact"/>
              <w:jc w:val="left"/>
            </w:pPr>
            <w:r>
              <w:t xml:space="preserve">5 regional directorates + Kamboinse centre; Saria, Farako-Ba stations</w:t>
            </w:r>
          </w:p>
        </w:tc>
        <w:tc>
          <w:tcPr/>
          <w:p>
            <w:pPr>
              <w:pStyle w:val="Compact"/>
              <w:jc w:val="left"/>
            </w:pPr>
            <w:r>
              <w:t xml:space="preserve">Signed compact at AEF 2026</w:t>
            </w:r>
          </w:p>
        </w:tc>
      </w:tr>
      <w:tr>
        <w:tc>
          <w:tcPr/>
          <w:p>
            <w:pPr>
              <w:pStyle w:val="Compact"/>
              <w:jc w:val="left"/>
            </w:pPr>
            <w:r>
              <w:t xml:space="preserve">Niger</w:t>
            </w:r>
          </w:p>
        </w:tc>
        <w:tc>
          <w:tcPr/>
          <w:p>
            <w:pPr>
              <w:pStyle w:val="Compact"/>
              <w:jc w:val="left"/>
            </w:pPr>
            <w:r>
              <w:t xml:space="preserve">~19%</w:t>
            </w:r>
          </w:p>
        </w:tc>
        <w:tc>
          <w:tcPr/>
          <w:p>
            <w:pPr>
              <w:pStyle w:val="Compact"/>
              <w:jc w:val="left"/>
            </w:pPr>
            <w:r>
              <w:t xml:space="preserve">Institut National de la Recherche Agronomique du Niger (INRAN)</w:t>
            </w:r>
          </w:p>
        </w:tc>
        <w:tc>
          <w:tcPr/>
          <w:p>
            <w:pPr>
              <w:pStyle w:val="Compact"/>
              <w:jc w:val="left"/>
            </w:pPr>
            <w:r>
              <w:t xml:space="preserve">4 regional centres (CERRA) + experimental-station network</w:t>
            </w:r>
          </w:p>
        </w:tc>
        <w:tc>
          <w:tcPr/>
          <w:p>
            <w:pPr>
              <w:pStyle w:val="Compact"/>
              <w:jc w:val="left"/>
            </w:pPr>
            <w:r>
              <w:t xml:space="preserve">Very high rural gap</w:t>
            </w:r>
          </w:p>
        </w:tc>
      </w:tr>
      <w:tr>
        <w:tc>
          <w:tcPr/>
          <w:p>
            <w:pPr>
              <w:pStyle w:val="Compact"/>
              <w:jc w:val="left"/>
            </w:pPr>
            <w:r>
              <w:t xml:space="preserve">Guinea</w:t>
            </w:r>
          </w:p>
        </w:tc>
        <w:tc>
          <w:tcPr/>
          <w:p>
            <w:pPr>
              <w:pStyle w:val="Compact"/>
              <w:jc w:val="left"/>
            </w:pPr>
            <w:r>
              <w:t xml:space="preserve">low</w:t>
            </w:r>
          </w:p>
        </w:tc>
        <w:tc>
          <w:tcPr/>
          <w:p>
            <w:pPr>
              <w:pStyle w:val="Compact"/>
              <w:jc w:val="left"/>
            </w:pPr>
            <w:r>
              <w:t xml:space="preserve">Institut de Recherche Agronomique de Guinee (IRAG)</w:t>
            </w:r>
          </w:p>
        </w:tc>
        <w:tc>
          <w:tcPr/>
          <w:p>
            <w:pPr>
              <w:pStyle w:val="Compact"/>
              <w:jc w:val="left"/>
            </w:pPr>
            <w:r>
              <w:t xml:space="preserve">Regional centres: Foulaya, Seredou, Bareng, Kilissi, Koba + Kankan/Tanene</w:t>
            </w:r>
          </w:p>
        </w:tc>
        <w:tc>
          <w:tcPr/>
          <w:p>
            <w:pPr>
              <w:pStyle w:val="Compact"/>
              <w:jc w:val="left"/>
            </w:pPr>
            <w:r>
              <w:t xml:space="preserve">Signed compact (Cohort 2)</w:t>
            </w:r>
          </w:p>
        </w:tc>
      </w:tr>
      <w:tr>
        <w:tc>
          <w:tcPr/>
          <w:p>
            <w:pPr>
              <w:pStyle w:val="Compact"/>
              <w:jc w:val="left"/>
            </w:pPr>
            <w:r>
              <w:t xml:space="preserve">Sierra Leone</w:t>
            </w:r>
          </w:p>
        </w:tc>
        <w:tc>
          <w:tcPr/>
          <w:p>
            <w:pPr>
              <w:pStyle w:val="Compact"/>
              <w:jc w:val="left"/>
            </w:pPr>
            <w:r>
              <w:t xml:space="preserve">low</w:t>
            </w:r>
          </w:p>
        </w:tc>
        <w:tc>
          <w:tcPr/>
          <w:p>
            <w:pPr>
              <w:pStyle w:val="Compact"/>
              <w:jc w:val="left"/>
            </w:pPr>
            <w:r>
              <w:t xml:space="preserve">Sierra Leone Agricultural Research Institute (SLARI)</w:t>
            </w:r>
          </w:p>
        </w:tc>
        <w:tc>
          <w:tcPr/>
          <w:p>
            <w:pPr>
              <w:pStyle w:val="Compact"/>
              <w:jc w:val="left"/>
            </w:pPr>
            <w:r>
              <w:t xml:space="preserve">7 mandated research centres (Njala, Rokupr, etc.)</w:t>
            </w:r>
          </w:p>
        </w:tc>
        <w:tc>
          <w:tcPr/>
          <w:p>
            <w:pPr>
              <w:pStyle w:val="Compact"/>
              <w:jc w:val="left"/>
            </w:pPr>
            <w:r>
              <w:t xml:space="preserve">Signed compact (Cohort 2)</w:t>
            </w:r>
          </w:p>
        </w:tc>
      </w:tr>
      <w:tr>
        <w:tc>
          <w:tcPr/>
          <w:p>
            <w:pPr>
              <w:pStyle w:val="Compact"/>
              <w:jc w:val="left"/>
            </w:pPr>
            <w:r>
              <w:t xml:space="preserve">Liberia</w:t>
            </w:r>
          </w:p>
        </w:tc>
        <w:tc>
          <w:tcPr/>
          <w:p>
            <w:pPr>
              <w:pStyle w:val="Compact"/>
              <w:jc w:val="left"/>
            </w:pPr>
            <w:r>
              <w:t xml:space="preserve">low</w:t>
            </w:r>
          </w:p>
        </w:tc>
        <w:tc>
          <w:tcPr/>
          <w:p>
            <w:pPr>
              <w:pStyle w:val="Compact"/>
              <w:jc w:val="left"/>
            </w:pPr>
            <w:r>
              <w:t xml:space="preserve">Central Agricultural Research Institute (CARI)</w:t>
            </w:r>
          </w:p>
        </w:tc>
        <w:tc>
          <w:tcPr/>
          <w:p>
            <w:pPr>
              <w:pStyle w:val="Compact"/>
              <w:jc w:val="left"/>
            </w:pPr>
            <w:r>
              <w:t xml:space="preserve">HQ campus at Suakoko, Bong County</w:t>
            </w:r>
          </w:p>
        </w:tc>
        <w:tc>
          <w:tcPr/>
          <w:p>
            <w:pPr>
              <w:pStyle w:val="Compact"/>
              <w:jc w:val="left"/>
            </w:pPr>
            <w:r>
              <w:t xml:space="preserve">Signed compact (Cohort 1)</w:t>
            </w:r>
          </w:p>
        </w:tc>
      </w:tr>
      <w:tr>
        <w:tc>
          <w:tcPr/>
          <w:p>
            <w:pPr>
              <w:pStyle w:val="Compact"/>
              <w:jc w:val="left"/>
            </w:pPr>
            <w:r>
              <w:t xml:space="preserve">Togo</w:t>
            </w:r>
          </w:p>
        </w:tc>
        <w:tc>
          <w:tcPr/>
          <w:p>
            <w:pPr>
              <w:pStyle w:val="Compact"/>
              <w:jc w:val="left"/>
            </w:pPr>
            <w:r>
              <w:t xml:space="preserve">~56% / ~25%</w:t>
            </w:r>
          </w:p>
        </w:tc>
        <w:tc>
          <w:tcPr/>
          <w:p>
            <w:pPr>
              <w:pStyle w:val="Compact"/>
              <w:jc w:val="left"/>
            </w:pPr>
            <w:r>
              <w:t xml:space="preserve">Institut Togolais de Recherche Agronomique (ITRA)</w:t>
            </w:r>
          </w:p>
        </w:tc>
        <w:tc>
          <w:tcPr/>
          <w:p>
            <w:pPr>
              <w:pStyle w:val="Compact"/>
              <w:jc w:val="left"/>
            </w:pPr>
            <w:r>
              <w:t xml:space="preserve">4 regional centres; Sotouboua seed farm; Agbodrafo aquaculture station</w:t>
            </w:r>
          </w:p>
        </w:tc>
        <w:tc>
          <w:tcPr/>
          <w:p>
            <w:pPr>
              <w:pStyle w:val="Compact"/>
              <w:jc w:val="left"/>
            </w:pPr>
            <w:r>
              <w:t xml:space="preserve">Signed compact (Cohort 2)</w:t>
            </w:r>
          </w:p>
        </w:tc>
      </w:tr>
    </w:tbl>
    <w:bookmarkEnd w:id="22"/>
    <w:bookmarkStart w:id="23" w:name="central-africa"/>
    <w:p>
      <w:pPr>
        <w:pStyle w:val="Heading3"/>
      </w:pPr>
      <w:r>
        <w:t xml:space="preserve">Central Africa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Country</w:t>
            </w:r>
          </w:p>
        </w:tc>
        <w:tc>
          <w:tcPr/>
          <w:p>
            <w:pPr>
              <w:pStyle w:val="Compact"/>
              <w:jc w:val="left"/>
            </w:pPr>
            <w:r>
              <w:t xml:space="preserve">Elec. access (total / rural)</w:t>
            </w:r>
          </w:p>
        </w:tc>
        <w:tc>
          <w:tcPr/>
          <w:p>
            <w:pPr>
              <w:pStyle w:val="Compact"/>
              <w:jc w:val="left"/>
            </w:pPr>
            <w:r>
              <w:t xml:space="preserve">Lead organization(s)</w:t>
            </w:r>
          </w:p>
        </w:tc>
        <w:tc>
          <w:tcPr/>
          <w:p>
            <w:pPr>
              <w:pStyle w:val="Compact"/>
              <w:jc w:val="left"/>
            </w:pPr>
            <w:r>
              <w:t xml:space="preserve">Physical footprint</w:t>
            </w:r>
          </w:p>
        </w:tc>
        <w:tc>
          <w:tcPr/>
          <w:p>
            <w:pPr>
              <w:pStyle w:val="Compact"/>
              <w:jc w:val="left"/>
            </w:pPr>
            <w:r>
              <w:t xml:space="preserve">Buildout need</w:t>
            </w:r>
          </w:p>
        </w:tc>
      </w:tr>
      <w:tr>
        <w:tc>
          <w:tcPr/>
          <w:p>
            <w:pPr>
              <w:pStyle w:val="Compact"/>
              <w:jc w:val="left"/>
            </w:pPr>
            <w:r>
              <w:t xml:space="preserve">DR Congo</w:t>
            </w:r>
          </w:p>
        </w:tc>
        <w:tc>
          <w:tcPr/>
          <w:p>
            <w:pPr>
              <w:pStyle w:val="Compact"/>
              <w:jc w:val="left"/>
            </w:pPr>
            <w:r>
              <w:t xml:space="preserve">~21% / very low</w:t>
            </w:r>
          </w:p>
        </w:tc>
        <w:tc>
          <w:tcPr/>
          <w:p>
            <w:pPr>
              <w:pStyle w:val="Compact"/>
              <w:jc w:val="left"/>
            </w:pPr>
            <w:r>
              <w:t xml:space="preserve">Institut National pour l’Etude et la Recherche Agronomiques (INERA)</w:t>
            </w:r>
          </w:p>
        </w:tc>
        <w:tc>
          <w:tcPr/>
          <w:p>
            <w:pPr>
              <w:pStyle w:val="Compact"/>
              <w:jc w:val="left"/>
            </w:pPr>
            <w:r>
              <w:t xml:space="preserve">HQ Kinshasa + 5 major stations: M’vuazi, Gandajika, Yangambi, Nioka, Mulungu</w:t>
            </w:r>
          </w:p>
        </w:tc>
        <w:tc>
          <w:tcPr/>
          <w:p>
            <w:pPr>
              <w:pStyle w:val="Compact"/>
              <w:jc w:val="left"/>
            </w:pPr>
            <w:r>
              <w:t xml:space="preserve">Immediate cross-border target from Bujumbura; signed compact (Cohort 1); 79.6m unelectrified</w:t>
            </w:r>
          </w:p>
        </w:tc>
      </w:tr>
      <w:tr>
        <w:tc>
          <w:tcPr/>
          <w:p>
            <w:pPr>
              <w:pStyle w:val="Compact"/>
              <w:jc w:val="left"/>
            </w:pPr>
            <w:r>
              <w:t xml:space="preserve">Cameroon</w:t>
            </w:r>
          </w:p>
        </w:tc>
        <w:tc>
          <w:tcPr/>
          <w:p>
            <w:pPr>
              <w:pStyle w:val="Compact"/>
              <w:jc w:val="left"/>
            </w:pPr>
            <w:r>
              <w:t xml:space="preserve">~65% / ~25%</w:t>
            </w:r>
          </w:p>
        </w:tc>
        <w:tc>
          <w:tcPr/>
          <w:p>
            <w:pPr>
              <w:pStyle w:val="Compact"/>
              <w:jc w:val="left"/>
            </w:pPr>
            <w:r>
              <w:t xml:space="preserve">Institut de Recherche Agricole pour le Developpement (IRAD)</w:t>
            </w:r>
          </w:p>
        </w:tc>
        <w:tc>
          <w:tcPr/>
          <w:p>
            <w:pPr>
              <w:pStyle w:val="Compact"/>
              <w:jc w:val="left"/>
            </w:pPr>
            <w:r>
              <w:t xml:space="preserve">5 regional centres across 5 agro-ecological zones</w:t>
            </w:r>
          </w:p>
        </w:tc>
        <w:tc>
          <w:tcPr/>
          <w:p>
            <w:pPr>
              <w:pStyle w:val="Compact"/>
              <w:jc w:val="left"/>
            </w:pPr>
            <w:r>
              <w:t xml:space="preserve">Signed compact (Cohort 2)</w:t>
            </w:r>
          </w:p>
        </w:tc>
      </w:tr>
      <w:tr>
        <w:tc>
          <w:tcPr/>
          <w:p>
            <w:pPr>
              <w:pStyle w:val="Compact"/>
              <w:jc w:val="left"/>
            </w:pPr>
            <w:r>
              <w:t xml:space="preserve">Chad</w:t>
            </w:r>
          </w:p>
        </w:tc>
        <w:tc>
          <w:tcPr/>
          <w:p>
            <w:pPr>
              <w:pStyle w:val="Compact"/>
              <w:jc w:val="left"/>
            </w:pPr>
            <w:r>
              <w:t xml:space="preserve">~13% (lowest in Africa)</w:t>
            </w:r>
          </w:p>
        </w:tc>
        <w:tc>
          <w:tcPr/>
          <w:p>
            <w:pPr>
              <w:pStyle w:val="Compact"/>
              <w:jc w:val="left"/>
            </w:pPr>
            <w:r>
              <w:t xml:space="preserve">Institut Tchadien de Recherche Agronomique pour le Developpement (ITRAD)</w:t>
            </w:r>
          </w:p>
        </w:tc>
        <w:tc>
          <w:tcPr/>
          <w:p>
            <w:pPr>
              <w:pStyle w:val="Compact"/>
              <w:jc w:val="left"/>
            </w:pPr>
            <w:r>
              <w:t xml:space="preserve">HQ N’Djamena; Bebedjia station</w:t>
            </w:r>
          </w:p>
        </w:tc>
        <w:tc>
          <w:tcPr/>
          <w:p>
            <w:pPr>
              <w:pStyle w:val="Compact"/>
              <w:jc w:val="left"/>
            </w:pPr>
            <w:r>
              <w:t xml:space="preserve">Signed compact (Cohort 1); highest rural gap</w:t>
            </w:r>
          </w:p>
        </w:tc>
      </w:tr>
      <w:tr>
        <w:tc>
          <w:tcPr/>
          <w:p>
            <w:pPr>
              <w:pStyle w:val="Compact"/>
              <w:jc w:val="left"/>
            </w:pPr>
            <w:r>
              <w:t xml:space="preserve">Rep. of Congo</w:t>
            </w:r>
          </w:p>
        </w:tc>
        <w:tc>
          <w:tcPr/>
          <w:p>
            <w:pPr>
              <w:pStyle w:val="Compact"/>
              <w:jc w:val="left"/>
            </w:pPr>
            <w:r>
              <w:t xml:space="preserve">~50% / ~12%</w:t>
            </w:r>
          </w:p>
        </w:tc>
        <w:tc>
          <w:tcPr/>
          <w:p>
            <w:pPr>
              <w:pStyle w:val="Compact"/>
              <w:jc w:val="left"/>
            </w:pPr>
            <w:r>
              <w:t xml:space="preserve">Centre de Recherches Agronomiques de Loudima (CRAL)</w:t>
            </w:r>
          </w:p>
        </w:tc>
        <w:tc>
          <w:tcPr/>
          <w:p>
            <w:pPr>
              <w:pStyle w:val="Compact"/>
              <w:jc w:val="left"/>
            </w:pPr>
            <w:r>
              <w:t xml:space="preserve">Loudima centre + CERAG stations</w:t>
            </w:r>
          </w:p>
        </w:tc>
        <w:tc>
          <w:tcPr/>
          <w:p>
            <w:pPr>
              <w:pStyle w:val="Compact"/>
              <w:jc w:val="left"/>
            </w:pPr>
            <w:r>
              <w:t xml:space="preserve">Weakest research footprint in set; signed compact</w:t>
            </w:r>
          </w:p>
        </w:tc>
      </w:tr>
      <w:tr>
        <w:tc>
          <w:tcPr/>
          <w:p>
            <w:pPr>
              <w:pStyle w:val="Compact"/>
              <w:jc w:val="left"/>
            </w:pPr>
            <w:r>
              <w:t xml:space="preserve">Gabon</w:t>
            </w:r>
          </w:p>
        </w:tc>
        <w:tc>
          <w:tcPr/>
          <w:p>
            <w:pPr>
              <w:pStyle w:val="Compact"/>
              <w:jc w:val="left"/>
            </w:pPr>
            <w:r>
              <w:t xml:space="preserve">~94%</w:t>
            </w:r>
          </w:p>
        </w:tc>
        <w:tc>
          <w:tcPr/>
          <w:p>
            <w:pPr>
              <w:pStyle w:val="Compact"/>
              <w:jc w:val="left"/>
            </w:pPr>
            <w:r>
              <w:t xml:space="preserve">Institut de Recherches Agronomiques et Forestieres (IRAF/CENAREST)</w:t>
            </w:r>
          </w:p>
        </w:tc>
        <w:tc>
          <w:tcPr/>
          <w:p>
            <w:pPr>
              <w:pStyle w:val="Compact"/>
              <w:jc w:val="left"/>
            </w:pPr>
            <w:r>
              <w:t xml:space="preserve">HQ Libreville + Ndouaniang station</w:t>
            </w:r>
          </w:p>
        </w:tc>
        <w:tc>
          <w:tcPr/>
          <w:p>
            <w:pPr>
              <w:pStyle w:val="Compact"/>
              <w:jc w:val="left"/>
            </w:pPr>
            <w:r>
              <w:t xml:space="preserve">High access; productive-use focus</w:t>
            </w:r>
          </w:p>
        </w:tc>
      </w:tr>
      <w:tr>
        <w:tc>
          <w:tcPr/>
          <w:p>
            <w:pPr>
              <w:pStyle w:val="Compact"/>
              <w:jc w:val="left"/>
            </w:pPr>
            <w:r>
              <w:t xml:space="preserve">CAR</w:t>
            </w:r>
          </w:p>
        </w:tc>
        <w:tc>
          <w:tcPr/>
          <w:p>
            <w:pPr>
              <w:pStyle w:val="Compact"/>
              <w:jc w:val="left"/>
            </w:pPr>
            <w:r>
              <w:t xml:space="preserve">very low</w:t>
            </w:r>
          </w:p>
        </w:tc>
        <w:tc>
          <w:tcPr/>
          <w:p>
            <w:pPr>
              <w:pStyle w:val="Compact"/>
              <w:jc w:val="left"/>
            </w:pPr>
            <w:r>
              <w:t xml:space="preserve">Institut Centrafricain de la Recherche Agronomique (ICRA)</w:t>
            </w:r>
          </w:p>
        </w:tc>
        <w:tc>
          <w:tcPr/>
          <w:p>
            <w:pPr>
              <w:pStyle w:val="Compact"/>
              <w:jc w:val="left"/>
            </w:pPr>
            <w:r>
              <w:t xml:space="preserve">HQ Bangui; Boukoko station (Mbaiki)</w:t>
            </w:r>
          </w:p>
        </w:tc>
        <w:tc>
          <w:tcPr/>
          <w:p>
            <w:pPr>
              <w:pStyle w:val="Compact"/>
              <w:jc w:val="left"/>
            </w:pPr>
            <w:r>
              <w:t xml:space="preserve">Security-constrained; late wave</w:t>
            </w:r>
          </w:p>
        </w:tc>
      </w:tr>
    </w:tbl>
    <w:bookmarkEnd w:id="23"/>
    <w:bookmarkStart w:id="24" w:name="east-africa"/>
    <w:p>
      <w:pPr>
        <w:pStyle w:val="Heading3"/>
      </w:pPr>
      <w:r>
        <w:t xml:space="preserve">East Africa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Country</w:t>
            </w:r>
          </w:p>
        </w:tc>
        <w:tc>
          <w:tcPr/>
          <w:p>
            <w:pPr>
              <w:pStyle w:val="Compact"/>
              <w:jc w:val="left"/>
            </w:pPr>
            <w:r>
              <w:t xml:space="preserve">Elec. access (total / rural)</w:t>
            </w:r>
          </w:p>
        </w:tc>
        <w:tc>
          <w:tcPr/>
          <w:p>
            <w:pPr>
              <w:pStyle w:val="Compact"/>
              <w:jc w:val="left"/>
            </w:pPr>
            <w:r>
              <w:t xml:space="preserve">Lead organization(s)</w:t>
            </w:r>
          </w:p>
        </w:tc>
        <w:tc>
          <w:tcPr/>
          <w:p>
            <w:pPr>
              <w:pStyle w:val="Compact"/>
              <w:jc w:val="left"/>
            </w:pPr>
            <w:r>
              <w:t xml:space="preserve">Physical footprint</w:t>
            </w:r>
          </w:p>
        </w:tc>
        <w:tc>
          <w:tcPr/>
          <w:p>
            <w:pPr>
              <w:pStyle w:val="Compact"/>
              <w:jc w:val="left"/>
            </w:pPr>
            <w:r>
              <w:t xml:space="preserve">Buildout need</w:t>
            </w:r>
          </w:p>
        </w:tc>
      </w:tr>
      <w:tr>
        <w:tc>
          <w:tcPr/>
          <w:p>
            <w:pPr>
              <w:pStyle w:val="Compact"/>
              <w:jc w:val="left"/>
            </w:pPr>
            <w:r>
              <w:t xml:space="preserve">Burundi</w:t>
            </w:r>
          </w:p>
        </w:tc>
        <w:tc>
          <w:tcPr/>
          <w:p>
            <w:pPr>
              <w:pStyle w:val="Compact"/>
              <w:jc w:val="left"/>
            </w:pPr>
            <w:r>
              <w:t xml:space="preserve">~12% / ~1.8%</w:t>
            </w:r>
          </w:p>
        </w:tc>
        <w:tc>
          <w:tcPr/>
          <w:p>
            <w:pPr>
              <w:pStyle w:val="Compact"/>
              <w:jc w:val="left"/>
            </w:pPr>
            <w:r>
              <w:t xml:space="preserve">CEFORE-RUSI (Karuzi); ISABU (agronomic research); Weza Power (energy PPP)</w:t>
            </w:r>
          </w:p>
        </w:tc>
        <w:tc>
          <w:tcPr/>
          <w:p>
            <w:pPr>
              <w:pStyle w:val="Compact"/>
              <w:jc w:val="left"/>
            </w:pPr>
            <w:r>
              <w:t xml:space="preserve">142-ha presidential campus; national research stations</w:t>
            </w:r>
          </w:p>
        </w:tc>
        <w:tc>
          <w:tcPr/>
          <w:p>
            <w:pPr>
              <w:pStyle w:val="Compact"/>
              <w:jc w:val="left"/>
            </w:pPr>
            <w:r>
              <w:t xml:space="preserve">HQ + first hub; lowest access in region</w:t>
            </w:r>
          </w:p>
        </w:tc>
      </w:tr>
      <w:tr>
        <w:tc>
          <w:tcPr/>
          <w:p>
            <w:pPr>
              <w:pStyle w:val="Compact"/>
              <w:jc w:val="left"/>
            </w:pPr>
            <w:r>
              <w:t xml:space="preserve">Kenya</w:t>
            </w:r>
          </w:p>
        </w:tc>
        <w:tc>
          <w:tcPr/>
          <w:p>
            <w:pPr>
              <w:pStyle w:val="Compact"/>
              <w:jc w:val="left"/>
            </w:pPr>
            <w:r>
              <w:t xml:space="preserve">~76% / ~68%</w:t>
            </w:r>
          </w:p>
        </w:tc>
        <w:tc>
          <w:tcPr/>
          <w:p>
            <w:pPr>
              <w:pStyle w:val="Compact"/>
              <w:jc w:val="left"/>
            </w:pPr>
            <w:r>
              <w:t xml:space="preserve">Kenya Agricultural &amp; Livestock Research Organization (KALRO)</w:t>
            </w:r>
          </w:p>
        </w:tc>
        <w:tc>
          <w:tcPr/>
          <w:p>
            <w:pPr>
              <w:pStyle w:val="Compact"/>
              <w:jc w:val="left"/>
            </w:pPr>
            <w:r>
              <w:t xml:space="preserve">Oversees 18 research institutes; national digital platform</w:t>
            </w:r>
          </w:p>
        </w:tc>
        <w:tc>
          <w:tcPr/>
          <w:p>
            <w:pPr>
              <w:pStyle w:val="Compact"/>
              <w:jc w:val="left"/>
            </w:pPr>
            <w:r>
              <w:t xml:space="preserve">Denser; productive-use + agripreneur model</w:t>
            </w:r>
          </w:p>
        </w:tc>
      </w:tr>
      <w:tr>
        <w:tc>
          <w:tcPr/>
          <w:p>
            <w:pPr>
              <w:pStyle w:val="Compact"/>
              <w:jc w:val="left"/>
            </w:pPr>
            <w:r>
              <w:t xml:space="preserve">Tanzania</w:t>
            </w:r>
          </w:p>
        </w:tc>
        <w:tc>
          <w:tcPr/>
          <w:p>
            <w:pPr>
              <w:pStyle w:val="Compact"/>
              <w:jc w:val="left"/>
            </w:pPr>
            <w:r>
              <w:t xml:space="preserve">~46%</w:t>
            </w:r>
          </w:p>
        </w:tc>
        <w:tc>
          <w:tcPr/>
          <w:p>
            <w:pPr>
              <w:pStyle w:val="Compact"/>
              <w:jc w:val="left"/>
            </w:pPr>
            <w:r>
              <w:t xml:space="preserve">Tanzania Agricultural Research Institute (TARI)</w:t>
            </w:r>
          </w:p>
        </w:tc>
        <w:tc>
          <w:tcPr/>
          <w:p>
            <w:pPr>
              <w:pStyle w:val="Compact"/>
              <w:jc w:val="left"/>
            </w:pPr>
            <w:r>
              <w:t xml:space="preserve">9 zonal centres + 8 sub-centres across 7 agro-ecological zones</w:t>
            </w:r>
          </w:p>
        </w:tc>
        <w:tc>
          <w:tcPr/>
          <w:p>
            <w:pPr>
              <w:pStyle w:val="Compact"/>
              <w:jc w:val="left"/>
            </w:pPr>
            <w:r>
              <w:t xml:space="preserve">Signed compact (Cohort 1)</w:t>
            </w:r>
          </w:p>
        </w:tc>
      </w:tr>
      <w:tr>
        <w:tc>
          <w:tcPr/>
          <w:p>
            <w:pPr>
              <w:pStyle w:val="Compact"/>
              <w:jc w:val="left"/>
            </w:pPr>
            <w:r>
              <w:t xml:space="preserve">Uganda</w:t>
            </w:r>
          </w:p>
        </w:tc>
        <w:tc>
          <w:tcPr/>
          <w:p>
            <w:pPr>
              <w:pStyle w:val="Compact"/>
              <w:jc w:val="left"/>
            </w:pPr>
            <w:r>
              <w:t xml:space="preserve">~47%</w:t>
            </w:r>
          </w:p>
        </w:tc>
        <w:tc>
          <w:tcPr/>
          <w:p>
            <w:pPr>
              <w:pStyle w:val="Compact"/>
              <w:jc w:val="left"/>
            </w:pPr>
            <w:r>
              <w:t xml:space="preserve">National Agricultural Research Organisation (NARO)</w:t>
            </w:r>
          </w:p>
        </w:tc>
        <w:tc>
          <w:tcPr/>
          <w:p>
            <w:pPr>
              <w:pStyle w:val="Compact"/>
              <w:jc w:val="left"/>
            </w:pPr>
            <w:r>
              <w:t xml:space="preserve">16 institutes (7 national + 9 zonal)</w:t>
            </w:r>
          </w:p>
        </w:tc>
        <w:tc>
          <w:tcPr/>
          <w:p>
            <w:pPr>
              <w:pStyle w:val="Compact"/>
              <w:jc w:val="left"/>
            </w:pPr>
            <w:r>
              <w:t xml:space="preserve">Signed compact at AEF 2026</w:t>
            </w:r>
          </w:p>
        </w:tc>
      </w:tr>
      <w:tr>
        <w:tc>
          <w:tcPr/>
          <w:p>
            <w:pPr>
              <w:pStyle w:val="Compact"/>
              <w:jc w:val="left"/>
            </w:pPr>
            <w:r>
              <w:t xml:space="preserve">Rwanda</w:t>
            </w:r>
          </w:p>
        </w:tc>
        <w:tc>
          <w:tcPr/>
          <w:p>
            <w:pPr>
              <w:pStyle w:val="Compact"/>
              <w:jc w:val="left"/>
            </w:pPr>
            <w:r>
              <w:t xml:space="preserve">~49% / ~38%</w:t>
            </w:r>
          </w:p>
        </w:tc>
        <w:tc>
          <w:tcPr/>
          <w:p>
            <w:pPr>
              <w:pStyle w:val="Compact"/>
              <w:jc w:val="left"/>
            </w:pPr>
            <w:r>
              <w:t xml:space="preserve">Rwanda Agriculture and Animal Resources Development Board (RAB)</w:t>
            </w:r>
          </w:p>
        </w:tc>
        <w:tc>
          <w:tcPr/>
          <w:p>
            <w:pPr>
              <w:pStyle w:val="Compact"/>
              <w:jc w:val="left"/>
            </w:pPr>
            <w:r>
              <w:t xml:space="preserve">13 stations nationwide integrating research + extension</w:t>
            </w:r>
          </w:p>
        </w:tc>
        <w:tc>
          <w:tcPr/>
          <w:p>
            <w:pPr>
              <w:pStyle w:val="Compact"/>
              <w:jc w:val="left"/>
            </w:pPr>
            <w:r>
              <w:t xml:space="preserve">Signed compact at AEF 2026; neighbor</w:t>
            </w:r>
          </w:p>
        </w:tc>
      </w:tr>
      <w:tr>
        <w:tc>
          <w:tcPr/>
          <w:p>
            <w:pPr>
              <w:pStyle w:val="Compact"/>
              <w:jc w:val="left"/>
            </w:pPr>
            <w:r>
              <w:t xml:space="preserve">Ethiopia</w:t>
            </w:r>
          </w:p>
        </w:tc>
        <w:tc>
          <w:tcPr/>
          <w:p>
            <w:pPr>
              <w:pStyle w:val="Compact"/>
              <w:jc w:val="left"/>
            </w:pPr>
            <w:r>
              <w:t xml:space="preserve">~54% / ~43%</w:t>
            </w:r>
          </w:p>
        </w:tc>
        <w:tc>
          <w:tcPr/>
          <w:p>
            <w:pPr>
              <w:pStyle w:val="Compact"/>
              <w:jc w:val="left"/>
            </w:pPr>
            <w:r>
              <w:t xml:space="preserve">Ethiopian Institute of Agricultural Research (EIAR)</w:t>
            </w:r>
          </w:p>
        </w:tc>
        <w:tc>
          <w:tcPr/>
          <w:p>
            <w:pPr>
              <w:pStyle w:val="Compact"/>
              <w:jc w:val="left"/>
            </w:pPr>
            <w:r>
              <w:t xml:space="preserve">20 federal centres; national system ~69 centres/sites; farmer cooperatives</w:t>
            </w:r>
          </w:p>
        </w:tc>
        <w:tc>
          <w:tcPr/>
          <w:p>
            <w:pPr>
              <w:pStyle w:val="Compact"/>
              <w:jc w:val="left"/>
            </w:pPr>
            <w:r>
              <w:t xml:space="preserve">Signed compact (Cohort 2); 56.4m unelectrified</w:t>
            </w:r>
          </w:p>
        </w:tc>
      </w:tr>
      <w:tr>
        <w:tc>
          <w:tcPr/>
          <w:p>
            <w:pPr>
              <w:pStyle w:val="Compact"/>
              <w:jc w:val="left"/>
            </w:pPr>
            <w:r>
              <w:t xml:space="preserve">Madagascar</w:t>
            </w:r>
          </w:p>
        </w:tc>
        <w:tc>
          <w:tcPr/>
          <w:p>
            <w:pPr>
              <w:pStyle w:val="Compact"/>
              <w:jc w:val="left"/>
            </w:pPr>
            <w:r>
              <w:t xml:space="preserve">low</w:t>
            </w:r>
          </w:p>
        </w:tc>
        <w:tc>
          <w:tcPr/>
          <w:p>
            <w:pPr>
              <w:pStyle w:val="Compact"/>
              <w:jc w:val="left"/>
            </w:pPr>
            <w:r>
              <w:t xml:space="preserve">FOFIFA (CENARDER)</w:t>
            </w:r>
          </w:p>
        </w:tc>
        <w:tc>
          <w:tcPr/>
          <w:p>
            <w:pPr>
              <w:pStyle w:val="Compact"/>
              <w:jc w:val="left"/>
            </w:pPr>
            <w:r>
              <w:t xml:space="preserve">8 regional centres + 11 regional stations</w:t>
            </w:r>
          </w:p>
        </w:tc>
        <w:tc>
          <w:tcPr/>
          <w:p>
            <w:pPr>
              <w:pStyle w:val="Compact"/>
              <w:jc w:val="left"/>
            </w:pPr>
            <w:r>
              <w:t xml:space="preserve">Signed compact (Cohort 1)</w:t>
            </w:r>
          </w:p>
        </w:tc>
      </w:tr>
      <w:tr>
        <w:tc>
          <w:tcPr/>
          <w:p>
            <w:pPr>
              <w:pStyle w:val="Compact"/>
              <w:jc w:val="left"/>
            </w:pPr>
            <w:r>
              <w:t xml:space="preserve">South Sudan/Somalia/others</w:t>
            </w:r>
          </w:p>
        </w:tc>
        <w:tc>
          <w:tcPr/>
          <w:p>
            <w:pPr>
              <w:pStyle w:val="Compact"/>
              <w:jc w:val="left"/>
            </w:pPr>
            <w:r>
              <w:t xml:space="preserve">very low</w:t>
            </w:r>
          </w:p>
        </w:tc>
        <w:tc>
          <w:tcPr/>
          <w:p>
            <w:pPr>
              <w:pStyle w:val="Compact"/>
              <w:jc w:val="left"/>
            </w:pPr>
            <w:r>
              <w:t xml:space="preserve">To be identified with AAIN</w:t>
            </w:r>
          </w:p>
        </w:tc>
        <w:tc>
          <w:tcPr/>
          <w:p>
            <w:pPr>
              <w:pStyle w:val="Compact"/>
              <w:jc w:val="left"/>
            </w:pPr>
            <w:r>
              <w:t xml:space="preserve">–</w:t>
            </w:r>
          </w:p>
        </w:tc>
        <w:tc>
          <w:tcPr/>
          <w:p>
            <w:pPr>
              <w:pStyle w:val="Compact"/>
              <w:jc w:val="left"/>
            </w:pPr>
            <w:r>
              <w:t xml:space="preserve">Late wave; security</w:t>
            </w:r>
          </w:p>
        </w:tc>
      </w:tr>
    </w:tbl>
    <w:bookmarkEnd w:id="24"/>
    <w:bookmarkStart w:id="25" w:name="southern-africa"/>
    <w:p>
      <w:pPr>
        <w:pStyle w:val="Heading3"/>
      </w:pPr>
      <w:r>
        <w:t xml:space="preserve">Southern Africa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Country</w:t>
            </w:r>
          </w:p>
        </w:tc>
        <w:tc>
          <w:tcPr/>
          <w:p>
            <w:pPr>
              <w:pStyle w:val="Compact"/>
              <w:jc w:val="left"/>
            </w:pPr>
            <w:r>
              <w:t xml:space="preserve">Elec. access (total / rural)</w:t>
            </w:r>
          </w:p>
        </w:tc>
        <w:tc>
          <w:tcPr/>
          <w:p>
            <w:pPr>
              <w:pStyle w:val="Compact"/>
              <w:jc w:val="left"/>
            </w:pPr>
            <w:r>
              <w:t xml:space="preserve">Lead organization(s)</w:t>
            </w:r>
          </w:p>
        </w:tc>
        <w:tc>
          <w:tcPr/>
          <w:p>
            <w:pPr>
              <w:pStyle w:val="Compact"/>
              <w:jc w:val="left"/>
            </w:pPr>
            <w:r>
              <w:t xml:space="preserve">Physical footprint</w:t>
            </w:r>
          </w:p>
        </w:tc>
        <w:tc>
          <w:tcPr/>
          <w:p>
            <w:pPr>
              <w:pStyle w:val="Compact"/>
              <w:jc w:val="left"/>
            </w:pPr>
            <w:r>
              <w:t xml:space="preserve">Buildout need</w:t>
            </w:r>
          </w:p>
        </w:tc>
      </w:tr>
      <w:tr>
        <w:tc>
          <w:tcPr/>
          <w:p>
            <w:pPr>
              <w:pStyle w:val="Compact"/>
              <w:jc w:val="left"/>
            </w:pPr>
            <w:r>
              <w:t xml:space="preserve">Zambia</w:t>
            </w:r>
          </w:p>
        </w:tc>
        <w:tc>
          <w:tcPr/>
          <w:p>
            <w:pPr>
              <w:pStyle w:val="Compact"/>
              <w:jc w:val="left"/>
            </w:pPr>
            <w:r>
              <w:t xml:space="preserve">~48%</w:t>
            </w:r>
          </w:p>
        </w:tc>
        <w:tc>
          <w:tcPr/>
          <w:p>
            <w:pPr>
              <w:pStyle w:val="Compact"/>
              <w:jc w:val="left"/>
            </w:pPr>
            <w:r>
              <w:t xml:space="preserve">Zambia Agricultural Research Institute (ZARI)</w:t>
            </w:r>
          </w:p>
        </w:tc>
        <w:tc>
          <w:tcPr/>
          <w:p>
            <w:pPr>
              <w:pStyle w:val="Compact"/>
              <w:jc w:val="left"/>
            </w:pPr>
            <w:r>
              <w:t xml:space="preserve">HQ Mount Makulu + 10 research stations</w:t>
            </w:r>
          </w:p>
        </w:tc>
        <w:tc>
          <w:tcPr/>
          <w:p>
            <w:pPr>
              <w:pStyle w:val="Compact"/>
              <w:jc w:val="left"/>
            </w:pPr>
            <w:r>
              <w:t xml:space="preserve">AAIN office; signed compact (Cohort 1)</w:t>
            </w:r>
          </w:p>
        </w:tc>
      </w:tr>
      <w:tr>
        <w:tc>
          <w:tcPr/>
          <w:p>
            <w:pPr>
              <w:pStyle w:val="Compact"/>
              <w:jc w:val="left"/>
            </w:pPr>
            <w:r>
              <w:t xml:space="preserve">Malawi</w:t>
            </w:r>
          </w:p>
        </w:tc>
        <w:tc>
          <w:tcPr/>
          <w:p>
            <w:pPr>
              <w:pStyle w:val="Compact"/>
              <w:jc w:val="left"/>
            </w:pPr>
            <w:r>
              <w:t xml:space="preserve">low</w:t>
            </w:r>
          </w:p>
        </w:tc>
        <w:tc>
          <w:tcPr/>
          <w:p>
            <w:pPr>
              <w:pStyle w:val="Compact"/>
              <w:jc w:val="left"/>
            </w:pPr>
            <w:r>
              <w:t xml:space="preserve">Department of Agricultural Research Services (DARS)</w:t>
            </w:r>
          </w:p>
        </w:tc>
        <w:tc>
          <w:tcPr/>
          <w:p>
            <w:pPr>
              <w:pStyle w:val="Compact"/>
              <w:jc w:val="left"/>
            </w:pPr>
            <w:r>
              <w:t xml:space="preserve">Chitedze + Lunyangwa (656 ha) stations; 8 ADDs; all 28 districts</w:t>
            </w:r>
          </w:p>
        </w:tc>
        <w:tc>
          <w:tcPr/>
          <w:p>
            <w:pPr>
              <w:pStyle w:val="Compact"/>
              <w:jc w:val="left"/>
            </w:pPr>
            <w:r>
              <w:t xml:space="preserve">Signed compact (Cohort 1)</w:t>
            </w:r>
          </w:p>
        </w:tc>
      </w:tr>
      <w:tr>
        <w:tc>
          <w:tcPr/>
          <w:p>
            <w:pPr>
              <w:pStyle w:val="Compact"/>
              <w:jc w:val="left"/>
            </w:pPr>
            <w:r>
              <w:t xml:space="preserve">Mozambique</w:t>
            </w:r>
          </w:p>
        </w:tc>
        <w:tc>
          <w:tcPr/>
          <w:p>
            <w:pPr>
              <w:pStyle w:val="Compact"/>
              <w:jc w:val="left"/>
            </w:pPr>
            <w:r>
              <w:t xml:space="preserve">~40% / low</w:t>
            </w:r>
          </w:p>
        </w:tc>
        <w:tc>
          <w:tcPr/>
          <w:p>
            <w:pPr>
              <w:pStyle w:val="Compact"/>
              <w:jc w:val="left"/>
            </w:pPr>
            <w:r>
              <w:t xml:space="preserve">Instituto de Investigacao Agraria de Mocambique (IIAM)</w:t>
            </w:r>
          </w:p>
        </w:tc>
        <w:tc>
          <w:tcPr/>
          <w:p>
            <w:pPr>
              <w:pStyle w:val="Compact"/>
              <w:jc w:val="left"/>
            </w:pPr>
            <w:r>
              <w:t xml:space="preserve">4 zonal research centres; ~50% of national hydro-met stations</w:t>
            </w:r>
          </w:p>
        </w:tc>
        <w:tc>
          <w:tcPr/>
          <w:p>
            <w:pPr>
              <w:pStyle w:val="Compact"/>
              <w:jc w:val="left"/>
            </w:pPr>
            <w:r>
              <w:t xml:space="preserve">Signed compact (Cohort 2); large deficit</w:t>
            </w:r>
          </w:p>
        </w:tc>
      </w:tr>
      <w:tr>
        <w:tc>
          <w:tcPr/>
          <w:p>
            <w:pPr>
              <w:pStyle w:val="Compact"/>
              <w:jc w:val="left"/>
            </w:pPr>
            <w:r>
              <w:t xml:space="preserve">Zimbabwe</w:t>
            </w:r>
          </w:p>
        </w:tc>
        <w:tc>
          <w:tcPr/>
          <w:p>
            <w:pPr>
              <w:pStyle w:val="Compact"/>
              <w:jc w:val="left"/>
            </w:pPr>
            <w:r>
              <w:t xml:space="preserve">~49% / ~32%</w:t>
            </w:r>
          </w:p>
        </w:tc>
        <w:tc>
          <w:tcPr/>
          <w:p>
            <w:pPr>
              <w:pStyle w:val="Compact"/>
              <w:jc w:val="left"/>
            </w:pPr>
            <w:r>
              <w:t xml:space="preserve">Dept. of Research &amp; Specialist Services (DR&amp;SS)</w:t>
            </w:r>
          </w:p>
        </w:tc>
        <w:tc>
          <w:tcPr/>
          <w:p>
            <w:pPr>
              <w:pStyle w:val="Compact"/>
              <w:jc w:val="left"/>
            </w:pPr>
            <w:r>
              <w:t xml:space="preserve">18 research institutes; Grasslands farm 2,700 ha</w:t>
            </w:r>
          </w:p>
        </w:tc>
        <w:tc>
          <w:tcPr/>
          <w:p>
            <w:pPr>
              <w:pStyle w:val="Compact"/>
              <w:jc w:val="left"/>
            </w:pPr>
            <w:r>
              <w:t xml:space="preserve">IBRD-borrowing ASCENT participant</w:t>
            </w:r>
          </w:p>
        </w:tc>
      </w:tr>
      <w:tr>
        <w:tc>
          <w:tcPr/>
          <w:p>
            <w:pPr>
              <w:pStyle w:val="Compact"/>
              <w:jc w:val="left"/>
            </w:pPr>
            <w:r>
              <w:t xml:space="preserve">South Africa</w:t>
            </w:r>
          </w:p>
        </w:tc>
        <w:tc>
          <w:tcPr/>
          <w:p>
            <w:pPr>
              <w:pStyle w:val="Compact"/>
              <w:jc w:val="left"/>
            </w:pPr>
            <w:r>
              <w:t xml:space="preserve">high</w:t>
            </w:r>
          </w:p>
        </w:tc>
        <w:tc>
          <w:tcPr/>
          <w:p>
            <w:pPr>
              <w:pStyle w:val="Compact"/>
              <w:jc w:val="left"/>
            </w:pPr>
            <w:r>
              <w:t xml:space="preserve">Agricultural Research Council (ARC)</w:t>
            </w:r>
          </w:p>
        </w:tc>
        <w:tc>
          <w:tcPr/>
          <w:p>
            <w:pPr>
              <w:pStyle w:val="Compact"/>
              <w:jc w:val="left"/>
            </w:pPr>
            <w:r>
              <w:t xml:space="preserve">11 commodity campuses across all provinces</w:t>
            </w:r>
          </w:p>
        </w:tc>
        <w:tc>
          <w:tcPr/>
          <w:p>
            <w:pPr>
              <w:pStyle w:val="Compact"/>
              <w:jc w:val="left"/>
            </w:pPr>
            <w:r>
              <w:t xml:space="preserve">Productive-use/e-mobility focus</w:t>
            </w:r>
          </w:p>
        </w:tc>
      </w:tr>
      <w:tr>
        <w:tc>
          <w:tcPr/>
          <w:p>
            <w:pPr>
              <w:pStyle w:val="Compact"/>
              <w:jc w:val="left"/>
            </w:pPr>
            <w:r>
              <w:t xml:space="preserve">Angola</w:t>
            </w:r>
          </w:p>
        </w:tc>
        <w:tc>
          <w:tcPr/>
          <w:p>
            <w:pPr>
              <w:pStyle w:val="Compact"/>
              <w:jc w:val="left"/>
            </w:pPr>
            <w:r>
              <w:t xml:space="preserve">~51% / ~7%</w:t>
            </w:r>
          </w:p>
        </w:tc>
        <w:tc>
          <w:tcPr/>
          <w:p>
            <w:pPr>
              <w:pStyle w:val="Compact"/>
              <w:jc w:val="left"/>
            </w:pPr>
            <w:r>
              <w:t xml:space="preserve">Instituto de Investigacao Agronomica (IIA), Huambo</w:t>
            </w:r>
          </w:p>
        </w:tc>
        <w:tc>
          <w:tcPr/>
          <w:p>
            <w:pPr>
              <w:pStyle w:val="Compact"/>
              <w:jc w:val="left"/>
            </w:pPr>
            <w:r>
              <w:t xml:space="preserve">~10 experimental stations; SADC cassava centre at Malanje</w:t>
            </w:r>
          </w:p>
        </w:tc>
        <w:tc>
          <w:tcPr/>
          <w:p>
            <w:pPr>
              <w:pStyle w:val="Compact"/>
              <w:jc w:val="left"/>
            </w:pPr>
            <w:r>
              <w:t xml:space="preserve">IBRD ASCENT participant</w:t>
            </w:r>
          </w:p>
        </w:tc>
      </w:tr>
      <w:tr>
        <w:tc>
          <w:tcPr/>
          <w:p>
            <w:pPr>
              <w:pStyle w:val="Compact"/>
              <w:jc w:val="left"/>
            </w:pPr>
            <w:r>
              <w:t xml:space="preserve">Botswana</w:t>
            </w:r>
          </w:p>
        </w:tc>
        <w:tc>
          <w:tcPr/>
          <w:p>
            <w:pPr>
              <w:pStyle w:val="Compact"/>
              <w:jc w:val="left"/>
            </w:pPr>
            <w:r>
              <w:t xml:space="preserve">~93%</w:t>
            </w:r>
          </w:p>
        </w:tc>
        <w:tc>
          <w:tcPr/>
          <w:p>
            <w:pPr>
              <w:pStyle w:val="Compact"/>
              <w:jc w:val="left"/>
            </w:pPr>
            <w:r>
              <w:t xml:space="preserve">Botswana University of Agriculture &amp; Natural Resources (BUAN)</w:t>
            </w:r>
          </w:p>
        </w:tc>
        <w:tc>
          <w:tcPr/>
          <w:p>
            <w:pPr>
              <w:pStyle w:val="Compact"/>
              <w:jc w:val="left"/>
            </w:pPr>
            <w:r>
              <w:t xml:space="preserve">Sebele campus (~2,000 students); research farms</w:t>
            </w:r>
          </w:p>
        </w:tc>
        <w:tc>
          <w:tcPr/>
          <w:p>
            <w:pPr>
              <w:pStyle w:val="Compact"/>
              <w:jc w:val="left"/>
            </w:pPr>
            <w:r>
              <w:t xml:space="preserve">Signed compact (Cohort 2)</w:t>
            </w:r>
          </w:p>
        </w:tc>
      </w:tr>
      <w:tr>
        <w:tc>
          <w:tcPr/>
          <w:p>
            <w:pPr>
              <w:pStyle w:val="Compact"/>
              <w:jc w:val="left"/>
            </w:pPr>
            <w:r>
              <w:t xml:space="preserve">Namibia</w:t>
            </w:r>
          </w:p>
        </w:tc>
        <w:tc>
          <w:tcPr/>
          <w:p>
            <w:pPr>
              <w:pStyle w:val="Compact"/>
              <w:jc w:val="left"/>
            </w:pPr>
            <w:r>
              <w:t xml:space="preserve">~97%</w:t>
            </w:r>
          </w:p>
        </w:tc>
        <w:tc>
          <w:tcPr/>
          <w:p>
            <w:pPr>
              <w:pStyle w:val="Compact"/>
              <w:jc w:val="left"/>
            </w:pPr>
            <w:r>
              <w:t xml:space="preserve">Directorate of Agricultural Research &amp; Development (DARD); UNAM Neudamm</w:t>
            </w:r>
          </w:p>
        </w:tc>
        <w:tc>
          <w:tcPr/>
          <w:p>
            <w:pPr>
              <w:pStyle w:val="Compact"/>
              <w:jc w:val="left"/>
            </w:pPr>
            <w:r>
              <w:t xml:space="preserve">National research stations; Neudamm campus</w:t>
            </w:r>
          </w:p>
        </w:tc>
        <w:tc>
          <w:tcPr/>
          <w:p>
            <w:pPr>
              <w:pStyle w:val="Compact"/>
              <w:jc w:val="left"/>
            </w:pPr>
            <w:r>
              <w:t xml:space="preserve">Signed compact (Cohort 2)</w:t>
            </w:r>
          </w:p>
        </w:tc>
      </w:tr>
      <w:tr>
        <w:tc>
          <w:tcPr/>
          <w:p>
            <w:pPr>
              <w:pStyle w:val="Compact"/>
              <w:jc w:val="left"/>
            </w:pPr>
            <w:r>
              <w:t xml:space="preserve">Lesotho/Eswatini</w:t>
            </w:r>
          </w:p>
        </w:tc>
        <w:tc>
          <w:tcPr/>
          <w:p>
            <w:pPr>
              <w:pStyle w:val="Compact"/>
              <w:jc w:val="left"/>
            </w:pPr>
            <w:r>
              <w:t xml:space="preserve">mid</w:t>
            </w:r>
          </w:p>
        </w:tc>
        <w:tc>
          <w:tcPr/>
          <w:p>
            <w:pPr>
              <w:pStyle w:val="Compact"/>
              <w:jc w:val="left"/>
            </w:pPr>
            <w:r>
              <w:t xml:space="preserve">To be identified with AAIN</w:t>
            </w:r>
          </w:p>
        </w:tc>
        <w:tc>
          <w:tcPr/>
          <w:p>
            <w:pPr>
              <w:pStyle w:val="Compact"/>
              <w:jc w:val="left"/>
            </w:pPr>
            <w:r>
              <w:t xml:space="preserve">–</w:t>
            </w:r>
          </w:p>
        </w:tc>
        <w:tc>
          <w:tcPr/>
          <w:p>
            <w:pPr>
              <w:pStyle w:val="Compact"/>
              <w:jc w:val="left"/>
            </w:pPr>
            <w:r>
              <w:t xml:space="preserve">Signed compacts</w:t>
            </w:r>
          </w:p>
        </w:tc>
      </w:tr>
    </w:tbl>
    <w:bookmarkEnd w:id="25"/>
    <w:bookmarkStart w:id="26" w:name="north-africa"/>
    <w:p>
      <w:pPr>
        <w:pStyle w:val="Heading3"/>
      </w:pPr>
      <w:r>
        <w:t xml:space="preserve">North Africa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Country</w:t>
            </w:r>
          </w:p>
        </w:tc>
        <w:tc>
          <w:tcPr/>
          <w:p>
            <w:pPr>
              <w:pStyle w:val="Compact"/>
              <w:jc w:val="left"/>
            </w:pPr>
            <w:r>
              <w:t xml:space="preserve">Elec. access</w:t>
            </w:r>
          </w:p>
        </w:tc>
        <w:tc>
          <w:tcPr/>
          <w:p>
            <w:pPr>
              <w:pStyle w:val="Compact"/>
              <w:jc w:val="left"/>
            </w:pPr>
            <w:r>
              <w:t xml:space="preserve">Lead organization(s)</w:t>
            </w:r>
          </w:p>
        </w:tc>
        <w:tc>
          <w:tcPr/>
          <w:p>
            <w:pPr>
              <w:pStyle w:val="Compact"/>
              <w:jc w:val="left"/>
            </w:pPr>
            <w:r>
              <w:t xml:space="preserve">Physical footprint</w:t>
            </w:r>
          </w:p>
        </w:tc>
        <w:tc>
          <w:tcPr/>
          <w:p>
            <w:pPr>
              <w:pStyle w:val="Compact"/>
              <w:jc w:val="left"/>
            </w:pPr>
            <w:r>
              <w:t xml:space="preserve">Buildout need</w:t>
            </w:r>
          </w:p>
        </w:tc>
      </w:tr>
      <w:tr>
        <w:tc>
          <w:tcPr/>
          <w:p>
            <w:pPr>
              <w:pStyle w:val="Compact"/>
              <w:jc w:val="left"/>
            </w:pPr>
            <w:r>
              <w:t xml:space="preserve">Morocco</w:t>
            </w:r>
          </w:p>
        </w:tc>
        <w:tc>
          <w:tcPr/>
          <w:p>
            <w:pPr>
              <w:pStyle w:val="Compact"/>
              <w:jc w:val="left"/>
            </w:pPr>
            <w:r>
              <w:t xml:space="preserve">100%</w:t>
            </w:r>
          </w:p>
        </w:tc>
        <w:tc>
          <w:tcPr/>
          <w:p>
            <w:pPr>
              <w:pStyle w:val="Compact"/>
              <w:jc w:val="left"/>
            </w:pPr>
            <w:r>
              <w:t xml:space="preserve">Institut National de la Recherche Agronomique (INRA-Maroc)</w:t>
            </w:r>
          </w:p>
        </w:tc>
        <w:tc>
          <w:tcPr/>
          <w:p>
            <w:pPr>
              <w:pStyle w:val="Compact"/>
              <w:jc w:val="left"/>
            </w:pPr>
            <w:r>
              <w:t xml:space="preserve">10 regional centres (CRRA) + 23 experimental domains</w:t>
            </w:r>
          </w:p>
        </w:tc>
        <w:tc>
          <w:tcPr/>
          <w:p>
            <w:pPr>
              <w:pStyle w:val="Compact"/>
              <w:jc w:val="left"/>
            </w:pPr>
            <w:r>
              <w:t xml:space="preserve">Productive-use/solar-irrigation model; PERG precedent</w:t>
            </w:r>
          </w:p>
        </w:tc>
      </w:tr>
      <w:tr>
        <w:tc>
          <w:tcPr/>
          <w:p>
            <w:pPr>
              <w:pStyle w:val="Compact"/>
              <w:jc w:val="left"/>
            </w:pPr>
            <w:r>
              <w:t xml:space="preserve">Egypt</w:t>
            </w:r>
          </w:p>
        </w:tc>
        <w:tc>
          <w:tcPr/>
          <w:p>
            <w:pPr>
              <w:pStyle w:val="Compact"/>
              <w:jc w:val="left"/>
            </w:pPr>
            <w:r>
              <w:t xml:space="preserve">high</w:t>
            </w:r>
          </w:p>
        </w:tc>
        <w:tc>
          <w:tcPr/>
          <w:p>
            <w:pPr>
              <w:pStyle w:val="Compact"/>
              <w:jc w:val="left"/>
            </w:pPr>
            <w:r>
              <w:t xml:space="preserve">Agricultural Research Center (ARC), Giza</w:t>
            </w:r>
          </w:p>
        </w:tc>
        <w:tc>
          <w:tcPr/>
          <w:p>
            <w:pPr>
              <w:pStyle w:val="Compact"/>
              <w:jc w:val="left"/>
            </w:pPr>
            <w:r>
              <w:t xml:space="preserve">16 institutes, 10 regional + 36 specific stations</w:t>
            </w:r>
          </w:p>
        </w:tc>
        <w:tc>
          <w:tcPr/>
          <w:p>
            <w:pPr>
              <w:pStyle w:val="Compact"/>
              <w:jc w:val="left"/>
            </w:pPr>
            <w:r>
              <w:t xml:space="preserve">Largest applied ag-research body in Africa</w:t>
            </w:r>
          </w:p>
        </w:tc>
      </w:tr>
      <w:tr>
        <w:tc>
          <w:tcPr/>
          <w:p>
            <w:pPr>
              <w:pStyle w:val="Compact"/>
              <w:jc w:val="left"/>
            </w:pPr>
            <w:r>
              <w:t xml:space="preserve">Tunisia</w:t>
            </w:r>
          </w:p>
        </w:tc>
        <w:tc>
          <w:tcPr/>
          <w:p>
            <w:pPr>
              <w:pStyle w:val="Compact"/>
              <w:jc w:val="left"/>
            </w:pPr>
            <w:r>
              <w:t xml:space="preserve">~100%</w:t>
            </w:r>
          </w:p>
        </w:tc>
        <w:tc>
          <w:tcPr/>
          <w:p>
            <w:pPr>
              <w:pStyle w:val="Compact"/>
              <w:jc w:val="left"/>
            </w:pPr>
            <w:r>
              <w:t xml:space="preserve">Institut National de la Recherche Agronomique de Tunisie (INRAT/IRESA)</w:t>
            </w:r>
          </w:p>
        </w:tc>
        <w:tc>
          <w:tcPr/>
          <w:p>
            <w:pPr>
              <w:pStyle w:val="Compact"/>
              <w:jc w:val="left"/>
            </w:pPr>
            <w:r>
              <w:t xml:space="preserve">National network of research/experimental sites</w:t>
            </w:r>
          </w:p>
        </w:tc>
        <w:tc>
          <w:tcPr/>
          <w:p>
            <w:pPr>
              <w:pStyle w:val="Compact"/>
              <w:jc w:val="left"/>
            </w:pPr>
            <w:r>
              <w:t xml:space="preserve">Productive-use focus</w:t>
            </w:r>
          </w:p>
        </w:tc>
      </w:tr>
      <w:tr>
        <w:tc>
          <w:tcPr/>
          <w:p>
            <w:pPr>
              <w:pStyle w:val="Compact"/>
              <w:jc w:val="left"/>
            </w:pPr>
            <w:r>
              <w:t xml:space="preserve">Algeria</w:t>
            </w:r>
          </w:p>
        </w:tc>
        <w:tc>
          <w:tcPr/>
          <w:p>
            <w:pPr>
              <w:pStyle w:val="Compact"/>
              <w:jc w:val="left"/>
            </w:pPr>
            <w:r>
              <w:t xml:space="preserve">100%</w:t>
            </w:r>
          </w:p>
        </w:tc>
        <w:tc>
          <w:tcPr/>
          <w:p>
            <w:pPr>
              <w:pStyle w:val="Compact"/>
              <w:jc w:val="left"/>
            </w:pPr>
            <w:r>
              <w:t xml:space="preserve">Institut National de la Recherche Agronomique d’Algerie (INRAA)</w:t>
            </w:r>
          </w:p>
        </w:tc>
        <w:tc>
          <w:tcPr/>
          <w:p>
            <w:pPr>
              <w:pStyle w:val="Compact"/>
              <w:jc w:val="left"/>
            </w:pPr>
            <w:r>
              <w:t xml:space="preserve">12 divisions + 12 experimental stations</w:t>
            </w:r>
          </w:p>
        </w:tc>
        <w:tc>
          <w:tcPr/>
          <w:p>
            <w:pPr>
              <w:pStyle w:val="Compact"/>
              <w:jc w:val="left"/>
            </w:pPr>
            <w:r>
              <w:t xml:space="preserve">Solar-irrigation in south</w:t>
            </w:r>
          </w:p>
        </w:tc>
      </w:tr>
      <w:tr>
        <w:tc>
          <w:tcPr/>
          <w:p>
            <w:pPr>
              <w:pStyle w:val="Compact"/>
              <w:jc w:val="left"/>
            </w:pPr>
            <w:r>
              <w:t xml:space="preserve">Libya/Mauritania/Sudan</w:t>
            </w:r>
          </w:p>
        </w:tc>
        <w:tc>
          <w:tcPr/>
          <w:p>
            <w:pPr>
              <w:pStyle w:val="Compact"/>
              <w:jc w:val="left"/>
            </w:pPr>
            <w:r>
              <w:t xml:space="preserve">mixed/low</w:t>
            </w:r>
          </w:p>
        </w:tc>
        <w:tc>
          <w:tcPr/>
          <w:p>
            <w:pPr>
              <w:pStyle w:val="Compact"/>
              <w:jc w:val="left"/>
            </w:pPr>
            <w:r>
              <w:t xml:space="preserve">To be identified with AAIN</w:t>
            </w:r>
          </w:p>
        </w:tc>
        <w:tc>
          <w:tcPr/>
          <w:p>
            <w:pPr>
              <w:pStyle w:val="Compact"/>
              <w:jc w:val="left"/>
            </w:pPr>
            <w:r>
              <w:t xml:space="preserve">–</w:t>
            </w:r>
          </w:p>
        </w:tc>
        <w:tc>
          <w:tcPr/>
          <w:p>
            <w:pPr>
              <w:pStyle w:val="Compact"/>
              <w:jc w:val="left"/>
            </w:pPr>
            <w:r>
              <w:t xml:space="preserve">Security/late wave</w:t>
            </w:r>
          </w:p>
        </w:tc>
      </w:tr>
    </w:tbl>
    <w:p>
      <w:pPr>
        <w:pStyle w:val="BodyText"/>
      </w:pPr>
      <w:r>
        <w:t xml:space="preserve">Confidence &amp; data gaps (D1): HIGH confidence on the existence and physical footprint of every named institution (national research institutes, ag universities, AAIN). MEDIUM confidence on precise electrification percentages (mix of 2021–2023 vintages; treat as directional). LOW confidence on which named institutions are formal AAIN members vs. affiliates – reconcile against AAIN’s internal membership roster. Researcher-headcount figures from CGIAR-ASTI are dated (~2011 census). Cooperative-union and national Red Cross mapping was not completed for most countries and is flagged</w:t>
      </w:r>
      <w:r>
        <w:t xml:space="preserve"> </w:t>
      </w:r>
      <w:r>
        <w:t xml:space="preserve">“</w:t>
      </w:r>
      <w:r>
        <w:t xml:space="preserve">to be identified with AAIN.</w:t>
      </w:r>
      <w:r>
        <w:t xml:space="preserve">”</w:t>
      </w:r>
    </w:p>
    <w:p>
      <w:r>
        <w:pict>
          <v:rect style="width:0;height:1.5pt" o:hralign="center" o:hrstd="t" o:hr="t"/>
        </w:pict>
      </w:r>
    </w:p>
    <w:bookmarkEnd w:id="26"/>
    <w:bookmarkEnd w:id="27"/>
    <w:bookmarkStart w:id="33" w:name="X679d82b73ec014cc9a1ffbf81623e0d9bbfc685"/>
    <w:p>
      <w:pPr>
        <w:pStyle w:val="Heading2"/>
      </w:pPr>
      <w:r>
        <w:t xml:space="preserve">DELIVERABLE 2 – Continental Rollout Roadmap (Massive-Funding Scenario)</w:t>
      </w:r>
    </w:p>
    <w:p>
      <w:pPr>
        <w:pStyle w:val="FirstParagraph"/>
      </w:pPr>
      <w:r>
        <w:t xml:space="preserve">Design principle: scale by borrowing personnel, not hiring. Each hub is staffed by the host partner organization’s existing field staff (research-station agronomists, extension officers, cooperative managers), with PURE Power Africa providing equipment, capital, train-the-trainer curricula (via CEFORE-RUSI) and management overlay. Sequencing weights six criteria: (1) partner readiness/footprint; (2) electrification gap + rural access; (3) Mission 300 compact status; (4) logistics corridors/regional blocs; (5) language grouping; (6) security; plus proximity to the Bujumbura HQ.</w:t>
      </w:r>
    </w:p>
    <w:bookmarkStart w:id="28" w:name="X95a8c9370977965c57a61bf38f3a8c33259f68a"/>
    <w:p>
      <w:pPr>
        <w:pStyle w:val="Heading3"/>
      </w:pPr>
      <w:r>
        <w:t xml:space="preserve">Wave 1 – Pilot (Year 1):</w:t>
      </w:r>
      <w:r>
        <w:t xml:space="preserve"> </w:t>
      </w:r>
      <w:r>
        <w:t xml:space="preserve">“</w:t>
      </w:r>
      <w:r>
        <w:t xml:space="preserve">Bujumbura ring</w:t>
      </w:r>
      <w:r>
        <w:t xml:space="preserve">”</w:t>
      </w:r>
      <w:r>
        <w:t xml:space="preserve"> </w:t>
      </w:r>
      <w:r>
        <w:t xml:space="preserve">+ proof-of-model</w:t>
      </w:r>
    </w:p>
    <w:p>
      <w:pPr>
        <w:numPr>
          <w:ilvl w:val="0"/>
          <w:numId w:val="1001"/>
        </w:numPr>
        <w:pStyle w:val="Compact"/>
      </w:pPr>
      <w:r>
        <w:t xml:space="preserve">Cluster 1A (Home): Burundi – first hub at/with CEFORE-RUSI, Karuzi.</w:t>
      </w:r>
    </w:p>
    <w:p>
      <w:pPr>
        <w:numPr>
          <w:ilvl w:val="0"/>
          <w:numId w:val="1001"/>
        </w:numPr>
        <w:pStyle w:val="Compact"/>
      </w:pPr>
      <w:r>
        <w:t xml:space="preserve">Cluster 1B (Immediate cross-border): DR Congo (South Kivu – INERA Mulungu), Rwanda (RAB), Tanzania (TARI Kigoma/Uyole).</w:t>
      </w:r>
    </w:p>
    <w:p>
      <w:pPr>
        <w:numPr>
          <w:ilvl w:val="0"/>
          <w:numId w:val="1001"/>
        </w:numPr>
        <w:pStyle w:val="Compact"/>
      </w:pPr>
      <w:r>
        <w:t xml:space="preserve">Pace: 1 flagship hub + 3–4 satellite hubs.</w:t>
      </w:r>
    </w:p>
    <w:bookmarkEnd w:id="28"/>
    <w:bookmarkStart w:id="29" w:name="Xc1b2e3c3cc86e43b8d4019e44633f6888648fbe"/>
    <w:p>
      <w:pPr>
        <w:pStyle w:val="Heading3"/>
      </w:pPr>
      <w:r>
        <w:t xml:space="preserve">Wave 2 – Year 2–3: EAC/COMESA deepening + Anglophone East/Southern</w:t>
      </w:r>
    </w:p>
    <w:p>
      <w:pPr>
        <w:numPr>
          <w:ilvl w:val="0"/>
          <w:numId w:val="1002"/>
        </w:numPr>
        <w:pStyle w:val="Compact"/>
      </w:pPr>
      <w:r>
        <w:t xml:space="preserve">Cluster 2A: Kenya (KALRO), Uganda (NARO), Ethiopia (EIAR).</w:t>
      </w:r>
    </w:p>
    <w:p>
      <w:pPr>
        <w:numPr>
          <w:ilvl w:val="0"/>
          <w:numId w:val="1002"/>
        </w:numPr>
        <w:pStyle w:val="Compact"/>
      </w:pPr>
      <w:r>
        <w:t xml:space="preserve">Cluster 2B: Zambia (ZARI), Malawi (DARS), Mozambique (IIAM).</w:t>
      </w:r>
    </w:p>
    <w:p>
      <w:pPr>
        <w:numPr>
          <w:ilvl w:val="0"/>
          <w:numId w:val="1002"/>
        </w:numPr>
        <w:pStyle w:val="Compact"/>
      </w:pPr>
      <w:r>
        <w:t xml:space="preserve">Rationale: ASCENT participants, AAIN offices in Kenya/Uganda/Zambia, strong station networks.</w:t>
      </w:r>
    </w:p>
    <w:p>
      <w:pPr>
        <w:numPr>
          <w:ilvl w:val="0"/>
          <w:numId w:val="1002"/>
        </w:numPr>
        <w:pStyle w:val="Compact"/>
      </w:pPr>
      <w:r>
        <w:t xml:space="preserve">Pace: 8–12 hubs across 6 countries.</w:t>
      </w:r>
    </w:p>
    <w:bookmarkEnd w:id="29"/>
    <w:bookmarkStart w:id="30" w:name="Xf12595408b0d8ac77fa51f79c9e7f345fdc4a80"/>
    <w:p>
      <w:pPr>
        <w:pStyle w:val="Heading3"/>
      </w:pPr>
      <w:r>
        <w:t xml:space="preserve">Wave 3 – Year 3–4: Francophone West + Central corridors</w:t>
      </w:r>
    </w:p>
    <w:p>
      <w:pPr>
        <w:numPr>
          <w:ilvl w:val="0"/>
          <w:numId w:val="1003"/>
        </w:numPr>
        <w:pStyle w:val="Compact"/>
      </w:pPr>
      <w:r>
        <w:t xml:space="preserve">Cluster 3A (Sahel/West): Senegal (ISRA), Mali (IER), Niger (INRAN), Burkina Faso (INERA), Benin (INRAB), Cote d’Ivoire (CNRA), Ghana (CSIR/AAIN HQ), Togo (ITRA).</w:t>
      </w:r>
    </w:p>
    <w:p>
      <w:pPr>
        <w:numPr>
          <w:ilvl w:val="0"/>
          <w:numId w:val="1003"/>
        </w:numPr>
        <w:pStyle w:val="Compact"/>
      </w:pPr>
      <w:r>
        <w:t xml:space="preserve">Cluster 3B (Central): Cameroon (IRAD), Chad (ITRAD).</w:t>
      </w:r>
    </w:p>
    <w:p>
      <w:pPr>
        <w:numPr>
          <w:ilvl w:val="0"/>
          <w:numId w:val="1003"/>
        </w:numPr>
        <w:pStyle w:val="Compact"/>
      </w:pPr>
      <w:r>
        <w:t xml:space="preserve">Pace: 12–16 hubs.</w:t>
      </w:r>
    </w:p>
    <w:bookmarkEnd w:id="30"/>
    <w:bookmarkStart w:id="31" w:name="Xe5375051b9af34561e8139afddb246e4a8f37bf"/>
    <w:p>
      <w:pPr>
        <w:pStyle w:val="Heading3"/>
      </w:pPr>
      <w:r>
        <w:t xml:space="preserve">Wave 4 – Year 4–5: North Africa productive-use + remaining Southern</w:t>
      </w:r>
    </w:p>
    <w:p>
      <w:pPr>
        <w:numPr>
          <w:ilvl w:val="0"/>
          <w:numId w:val="1004"/>
        </w:numPr>
        <w:pStyle w:val="Compact"/>
      </w:pPr>
      <w:r>
        <w:t xml:space="preserve">North Africa (Morocco INRA, Egypt ARC, Tunisia, Algeria) – pivot from electrification to productive-use/solar-irrigation and e-mobility, given ~100% access.</w:t>
      </w:r>
    </w:p>
    <w:p>
      <w:pPr>
        <w:numPr>
          <w:ilvl w:val="0"/>
          <w:numId w:val="1004"/>
        </w:numPr>
        <w:pStyle w:val="Compact"/>
      </w:pPr>
      <w:r>
        <w:t xml:space="preserve">Southern completions: South Africa (ARC), Zimbabwe (DR&amp;SS), Angola (IIA), Botswana (BUAN), Namibia (DARD), Lesotho, Eswatini.</w:t>
      </w:r>
    </w:p>
    <w:bookmarkEnd w:id="31"/>
    <w:bookmarkStart w:id="32" w:name="X4decc8c4ca5ac702ffc37bca723443b4cb53b6a"/>
    <w:p>
      <w:pPr>
        <w:pStyle w:val="Heading3"/>
      </w:pPr>
      <w:r>
        <w:t xml:space="preserve">Wave 5 – Year 5–6: Fragile/security-constrained + islands</w:t>
      </w:r>
    </w:p>
    <w:p>
      <w:pPr>
        <w:numPr>
          <w:ilvl w:val="0"/>
          <w:numId w:val="1005"/>
        </w:numPr>
        <w:pStyle w:val="Compact"/>
      </w:pPr>
      <w:r>
        <w:t xml:space="preserve">Central African Republic (ICRA), South Sudan, Somalia, Libya, Sudan, Mauritania, Guinea/Sierra Leone/Liberia consolidation, Comoros, Sao Tome, Madagascar deepening, Cabo Verde, Seychelles, Mauritius.</w:t>
      </w:r>
    </w:p>
    <w:p>
      <w:pPr>
        <w:numPr>
          <w:ilvl w:val="0"/>
          <w:numId w:val="1005"/>
        </w:numPr>
        <w:pStyle w:val="Compact"/>
      </w:pPr>
      <w:r>
        <w:t xml:space="preserve">Rationale: highest operating risk; deploy only after model is hardened and via Red Cross/NGO field networks where research institutes are weak.</w:t>
      </w:r>
    </w:p>
    <w:p>
      <w:pPr>
        <w:pStyle w:val="FirstParagraph"/>
      </w:pPr>
      <w:r>
        <w:t xml:space="preserve">Confidence &amp; data gaps (D2): MEDIUM. Wave logic is defensible from compact status + footprint + geography, but</w:t>
      </w:r>
      <w:r>
        <w:t xml:space="preserve"> </w:t>
      </w:r>
      <w:r>
        <w:t xml:space="preserve">“</w:t>
      </w:r>
      <w:r>
        <w:t xml:space="preserve">realistic pace</w:t>
      </w:r>
      <w:r>
        <w:t xml:space="preserve">”</w:t>
      </w:r>
      <w:r>
        <w:t xml:space="preserve"> </w:t>
      </w:r>
      <w:r>
        <w:t xml:space="preserve">figures are planning estimates, not commitments. Security screening (CAR, Sahel, South Sudan, Sudan) should use live conflict data before any deployment. The assumption that partner staff can be seconded without new hiring must be validated in MoUs per country.</w:t>
      </w:r>
    </w:p>
    <w:p>
      <w:r>
        <w:pict>
          <v:rect style="width:0;height:1.5pt" o:hralign="center" o:hrstd="t" o:hr="t"/>
        </w:pict>
      </w:r>
    </w:p>
    <w:bookmarkEnd w:id="32"/>
    <w:bookmarkEnd w:id="33"/>
    <w:bookmarkStart w:id="34" w:name="X08c3acffd574930f64316e8a9a527af129bf143"/>
    <w:p>
      <w:pPr>
        <w:pStyle w:val="Heading2"/>
      </w:pPr>
      <w:r>
        <w:t xml:space="preserve">DELIVERABLE 3 – TDB Group Engagement Analysis</w:t>
      </w:r>
    </w:p>
    <w:p>
      <w:pPr>
        <w:pStyle w:val="FirstParagraph"/>
      </w:pPr>
      <w:r>
        <w:rPr>
          <w:bCs/>
          <w:b/>
        </w:rPr>
        <w:t xml:space="preserve">HQ status – VERIFIED.</w:t>
      </w:r>
      <w:r>
        <w:t xml:space="preserve"> </w:t>
      </w:r>
      <w:r>
        <w:t xml:space="preserve">TDB (Eastern and Southern African Trade and Development Bank, formerly PTA Bank, est. 1985) maintains two principal offices: Bujumbura, Burundi (Chaussee Prince Louis Rwagasore, P.O. Box 1750) and Ebene/Reduit, Mauritius. Its primary operating hub is Nairobi (</w:t>
      </w:r>
      <w:r>
        <w:t xml:space="preserve">“</w:t>
      </w:r>
      <w:r>
        <w:t xml:space="preserve">TDB Nairobi Operations Hub</w:t>
      </w:r>
      <w:r>
        <w:t xml:space="preserve">”</w:t>
      </w:r>
      <w:r>
        <w:t xml:space="preserve">), with regional offices in Harare, Addis Ababa and Kinshasa. Correct framing: Bujumbura is a treaty/principal headquarters city (of high symbolic value), while Nairobi is the operational nerve center. Burundi is both a founding member state and host of a principal office. Per TDB Group’s 2024 AGM (President Admassu Tadesse), total assets crossed US$10 billion for the first time in 39 years, total equity US$2.2 billion, net profit US$230 million, return on equity 11%, across 25 African member states (COMESA/EAC/SADC). Shareholders (~37–41) span sovereign + institutional investors incl. AfDB, People’s Bank of China, OPEC Fund/OFID and BADEA; TDB is investment-grade rated.</w:t>
      </w:r>
    </w:p>
    <w:p>
      <w:pPr>
        <w:pStyle w:val="BodyText"/>
      </w:pPr>
      <w:r>
        <w:rPr>
          <w:bCs/>
          <w:b/>
        </w:rPr>
        <w:t xml:space="preserve">“</w:t>
      </w:r>
      <w:r>
        <w:rPr>
          <w:bCs/>
          <w:b/>
        </w:rPr>
        <w:t xml:space="preserve">TCF</w:t>
      </w:r>
      <w:r>
        <w:rPr>
          <w:bCs/>
          <w:b/>
        </w:rPr>
        <w:t xml:space="preserve">”</w:t>
      </w:r>
      <w:r>
        <w:rPr>
          <w:bCs/>
          <w:b/>
        </w:rPr>
        <w:t xml:space="preserve"> </w:t>
      </w:r>
      <w:r>
        <w:rPr>
          <w:bCs/>
          <w:b/>
        </w:rPr>
        <w:t xml:space="preserve">clarification.</w:t>
      </w:r>
      <w:r>
        <w:t xml:space="preserve"> </w:t>
      </w:r>
      <w:r>
        <w:t xml:space="preserve">There is no single canonical</w:t>
      </w:r>
      <w:r>
        <w:t xml:space="preserve"> </w:t>
      </w:r>
      <w:r>
        <w:t xml:space="preserve">“</w:t>
      </w:r>
      <w:r>
        <w:t xml:space="preserve">TCF</w:t>
      </w:r>
      <w:r>
        <w:t xml:space="preserve">”</w:t>
      </w:r>
      <w:r>
        <w:t xml:space="preserve"> </w:t>
      </w:r>
      <w:r>
        <w:t xml:space="preserve">in TDB’s public materials; the acronym most likely refers to one of the Group’s trade/technical facilities and should be confirmed with TDB directly. The verifiable TDB Group entities: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Function</w:t>
            </w:r>
          </w:p>
        </w:tc>
        <w:tc>
          <w:tcPr/>
          <w:p>
            <w:pPr>
              <w:pStyle w:val="Compact"/>
              <w:jc w:val="left"/>
            </w:pPr>
            <w:r>
              <w:t xml:space="preserve">Relevance to PURE Power Africa</w:t>
            </w:r>
          </w:p>
        </w:tc>
      </w:tr>
      <w:tr>
        <w:tc>
          <w:tcPr/>
          <w:p>
            <w:pPr>
              <w:pStyle w:val="Compact"/>
              <w:jc w:val="left"/>
            </w:pPr>
            <w:r>
              <w:t xml:space="preserve">TDB (Banking SBU)</w:t>
            </w:r>
          </w:p>
        </w:tc>
        <w:tc>
          <w:tcPr/>
          <w:p>
            <w:pPr>
              <w:pStyle w:val="Compact"/>
              <w:jc w:val="left"/>
            </w:pPr>
            <w:r>
              <w:t xml:space="preserve">Bilateral/syndicated short-term trade + long-term project &amp; infrastructure finance (senior/mezzanine debt, equity, co-financing)</w:t>
            </w:r>
          </w:p>
        </w:tc>
        <w:tc>
          <w:tcPr/>
          <w:p>
            <w:pPr>
              <w:pStyle w:val="Compact"/>
              <w:jc w:val="left"/>
            </w:pPr>
            <w:r>
              <w:t xml:space="preserve">Core project/infrastructure finance for hubs</w:t>
            </w:r>
          </w:p>
        </w:tc>
      </w:tr>
      <w:tr>
        <w:tc>
          <w:tcPr/>
          <w:p>
            <w:pPr>
              <w:pStyle w:val="Compact"/>
              <w:jc w:val="left"/>
            </w:pPr>
            <w:r>
              <w:t xml:space="preserve">TDF – Trade and Development Fund</w:t>
            </w:r>
          </w:p>
        </w:tc>
        <w:tc>
          <w:tcPr/>
          <w:p>
            <w:pPr>
              <w:pStyle w:val="Compact"/>
              <w:jc w:val="left"/>
            </w:pPr>
            <w:r>
              <w:t xml:space="preserve">Blended-finance member of TDB Group; concessional funding, technical assistance (project advisory/preparation), programme design/management; focus on women/youth</w:t>
            </w:r>
          </w:p>
        </w:tc>
        <w:tc>
          <w:tcPr/>
          <w:p>
            <w:pPr>
              <w:pStyle w:val="Compact"/>
              <w:jc w:val="left"/>
            </w:pPr>
            <w:r>
              <w:t xml:space="preserve">Most relevant grant-adjacent/concessional window; already the SME on-lending channel in the TDB–World Bank DRE/clean-cooking facility</w:t>
            </w:r>
          </w:p>
        </w:tc>
      </w:tr>
      <w:tr>
        <w:tc>
          <w:tcPr/>
          <w:p>
            <w:pPr>
              <w:pStyle w:val="Compact"/>
              <w:jc w:val="left"/>
            </w:pPr>
            <w:r>
              <w:t xml:space="preserve">TAM – TDB Asset Management</w:t>
            </w:r>
          </w:p>
        </w:tc>
        <w:tc>
          <w:tcPr/>
          <w:p>
            <w:pPr>
              <w:pStyle w:val="Compact"/>
              <w:jc w:val="left"/>
            </w:pPr>
            <w:r>
              <w:t xml:space="preserve">Origination/growth of standalone investment vehicles for investors/development partners</w:t>
            </w:r>
          </w:p>
        </w:tc>
        <w:tc>
          <w:tcPr/>
          <w:p>
            <w:pPr>
              <w:pStyle w:val="Compact"/>
              <w:jc w:val="left"/>
            </w:pPr>
            <w:r>
              <w:t xml:space="preserve">Vehicle to house a dedicated agro-energy fund</w:t>
            </w:r>
          </w:p>
        </w:tc>
      </w:tr>
      <w:tr>
        <w:tc>
          <w:tcPr/>
          <w:p>
            <w:pPr>
              <w:pStyle w:val="Compact"/>
              <w:jc w:val="left"/>
            </w:pPr>
            <w:r>
              <w:t xml:space="preserve">ESATAL / ESATF</w:t>
            </w:r>
          </w:p>
        </w:tc>
        <w:tc>
          <w:tcPr/>
          <w:p>
            <w:pPr>
              <w:pStyle w:val="Compact"/>
              <w:jc w:val="left"/>
            </w:pPr>
            <w:r>
              <w:t xml:space="preserve">ESATAL fund-management company manages ESATF, a collective investment scheme financing short/medium-term trade (incl. SMEs)</w:t>
            </w:r>
          </w:p>
        </w:tc>
        <w:tc>
          <w:tcPr/>
          <w:p>
            <w:pPr>
              <w:pStyle w:val="Compact"/>
              <w:jc w:val="left"/>
            </w:pPr>
            <w:r>
              <w:t xml:space="preserve">Trade finance for inputs, equipment imports</w:t>
            </w:r>
          </w:p>
        </w:tc>
      </w:tr>
      <w:tr>
        <w:tc>
          <w:tcPr/>
          <w:p>
            <w:pPr>
              <w:pStyle w:val="Compact"/>
              <w:jc w:val="left"/>
            </w:pPr>
            <w:r>
              <w:t xml:space="preserve">TCI – TDB Captive Insurance</w:t>
            </w:r>
          </w:p>
        </w:tc>
        <w:tc>
          <w:tcPr/>
          <w:p>
            <w:pPr>
              <w:pStyle w:val="Compact"/>
              <w:jc w:val="left"/>
            </w:pPr>
            <w:r>
              <w:t xml:space="preserve">Credit &amp; political-risk insurance/reinsurance for the Group</w:t>
            </w:r>
          </w:p>
        </w:tc>
        <w:tc>
          <w:tcPr/>
          <w:p>
            <w:pPr>
              <w:pStyle w:val="Compact"/>
              <w:jc w:val="left"/>
            </w:pPr>
            <w:r>
              <w:t xml:space="preserve">De-risking cross-border deployment</w:t>
            </w:r>
          </w:p>
        </w:tc>
      </w:tr>
      <w:tr>
        <w:tc>
          <w:tcPr/>
          <w:p>
            <w:pPr>
              <w:pStyle w:val="Compact"/>
              <w:jc w:val="left"/>
            </w:pPr>
            <w:r>
              <w:t xml:space="preserve">TDB Academy</w:t>
            </w:r>
          </w:p>
        </w:tc>
        <w:tc>
          <w:tcPr/>
          <w:p>
            <w:pPr>
              <w:pStyle w:val="Compact"/>
              <w:jc w:val="left"/>
            </w:pPr>
            <w:r>
              <w:t xml:space="preserve">Capacity-building arm: training, seminars, study tours</w:t>
            </w:r>
          </w:p>
        </w:tc>
        <w:tc>
          <w:tcPr/>
          <w:p>
            <w:pPr>
              <w:pStyle w:val="Compact"/>
              <w:jc w:val="left"/>
            </w:pPr>
            <w:r>
              <w:t xml:space="preserve">Natural partner for CEFORE-RUSI train-the-trainer</w:t>
            </w:r>
          </w:p>
        </w:tc>
      </w:tr>
      <w:tr>
        <w:tc>
          <w:tcPr/>
          <w:p>
            <w:pPr>
              <w:pStyle w:val="Compact"/>
              <w:jc w:val="left"/>
            </w:pPr>
            <w:r>
              <w:t xml:space="preserve">ESAIF</w:t>
            </w:r>
          </w:p>
        </w:tc>
        <w:tc>
          <w:tcPr/>
          <w:p>
            <w:pPr>
              <w:pStyle w:val="Compact"/>
              <w:jc w:val="left"/>
            </w:pPr>
            <w:r>
              <w:t xml:space="preserve">Mauritius-domiciled infrastructure-focused investment vehicle</w:t>
            </w:r>
          </w:p>
        </w:tc>
        <w:tc>
          <w:tcPr/>
          <w:p>
            <w:pPr>
              <w:pStyle w:val="Compact"/>
              <w:jc w:val="left"/>
            </w:pPr>
            <w:r>
              <w:t xml:space="preserve">Infrastructure co-investment</w:t>
            </w:r>
          </w:p>
        </w:tc>
      </w:tr>
    </w:tbl>
    <w:p>
      <w:pPr>
        <w:pStyle w:val="BodyText"/>
      </w:pPr>
      <w:r>
        <w:rPr>
          <w:bCs/>
          <w:b/>
        </w:rPr>
        <w:t xml:space="preserve">Green/energy &amp; regional-platform engagement (verified):</w:t>
      </w:r>
      <w:r>
        <w:t xml:space="preserve"> </w:t>
      </w:r>
      <w:r>
        <w:t xml:space="preserve">In Feb 2024, TDB and the World Bank signed to accelerate access to sustainable and clean energy in Africa; under it, loans to DRE and clean-cooking companies flow via TDB, with smaller SME loans through TDF, plus performance-based catalytic grants and technical assistance. TDB Group (with TDF’s impact/grant window) and Odyssey Energy Solutions were selected as partners for ASCENT’s Regional Energy Access Financing platform (REAF) – directly relevant, since Burundi is an ASCENT country. TDB is also a Green Climate Fund Accredited Entity.</w:t>
      </w:r>
    </w:p>
    <w:p>
      <w:pPr>
        <w:pStyle w:val="BodyText"/>
      </w:pPr>
      <w:r>
        <w:rPr>
          <w:bCs/>
          <w:b/>
        </w:rPr>
        <w:t xml:space="preserve">Burundi &amp; agribusiness transactions (verified):</w:t>
      </w:r>
      <w:r>
        <w:t xml:space="preserve"> </w:t>
      </w:r>
      <w:r>
        <w:t xml:space="preserve">TDB extended a multi-million-dollar trade-finance facility to Bancobu (Burundi’s leading commercial bank) – signed 17 August at Bancobu HQ in Bujumbura by TDB Group MD Admassu Tadesse and Bancobu MD Trinitas Girukwishaka – to on-lend to agri-export SMEs (coffee, tea) and finance inputs (fertilizer, fuel). AfDB approved a US$175m Trade Finance Funded Risk Participation Agreement with TDB (TDB matching to a US$350m combined ticket).</w:t>
      </w:r>
    </w:p>
    <w:p>
      <w:pPr>
        <w:pStyle w:val="BodyText"/>
      </w:pPr>
      <w:r>
        <w:rPr>
          <w:bCs/>
          <w:b/>
        </w:rPr>
        <w:t xml:space="preserve">Engagement angles for PURE Power Africa:</w:t>
      </w:r>
      <w:r>
        <w:t xml:space="preserve"> </w:t>
      </w:r>
      <w:r>
        <w:t xml:space="preserve">1. HQ-city alignment (symbolic + political): a Bujumbura-headquartered continental program sitting alongside TDB’s principal HQ is a natural narrative for both institutions during Burundi’s AU chairmanship – position PURE Power Africa as a private-sector delivery vehicle that helps TDB deploy REAF/ASCENT capital into productive-use agro-energy.</w:t>
      </w:r>
      <w:r>
        <w:t xml:space="preserve"> </w:t>
      </w:r>
      <w:r>
        <w:t xml:space="preserve">2. TDF concessional + catalytic grant window for hub equipment and pilot innovations; ESATAL/ESATF for input/equipment trade finance; TDB project finance for larger cold-chain/irrigation infrastructure; TCI for political-risk cover on cross-border (DRC) expansion.</w:t>
      </w:r>
      <w:r>
        <w:t xml:space="preserve"> </w:t>
      </w:r>
      <w:r>
        <w:t xml:space="preserve">3. TDB Academy x CEFORE-RUSI co-branded train-the-trainer.</w:t>
      </w:r>
      <w:r>
        <w:t xml:space="preserve"> </w:t>
      </w:r>
      <w:r>
        <w:t xml:space="preserve">4. TAM/ESAIF to structure a dedicated blended agro-energy fund.</w:t>
      </w:r>
      <w:r>
        <w:t xml:space="preserve"> </w:t>
      </w:r>
      <w:r>
        <w:t xml:space="preserve">Ticket sizes: TDB project tickets typically run into the tens–hundreds of millions; TDF/SEFA-style grants and catalytic windows in the single-digit millions; trade lines multi-million.</w:t>
      </w:r>
    </w:p>
    <w:p>
      <w:pPr>
        <w:pStyle w:val="BodyText"/>
      </w:pPr>
      <w:r>
        <w:t xml:space="preserve">Confidence &amp; data gaps (D3): HIGH on HQ status, Group structure, TDF/ESATF definitions, World Bank/ASCENT and Bancobu transactions. LOW specifically on the exact meaning of</w:t>
      </w:r>
      <w:r>
        <w:t xml:space="preserve"> </w:t>
      </w:r>
      <w:r>
        <w:t xml:space="preserve">“</w:t>
      </w:r>
      <w:r>
        <w:t xml:space="preserve">TCF</w:t>
      </w:r>
      <w:r>
        <w:t xml:space="preserve">”</w:t>
      </w:r>
      <w:r>
        <w:t xml:space="preserve"> </w:t>
      </w:r>
      <w:r>
        <w:t xml:space="preserve">– no public TDB source uses that acronym; recommend confirming directly with TDB. Ticket-size ranges are indicative from comparable deals, not a Burundi-specific quote.</w:t>
      </w:r>
    </w:p>
    <w:p>
      <w:r>
        <w:pict>
          <v:rect style="width:0;height:1.5pt" o:hralign="center" o:hrstd="t" o:hr="t"/>
        </w:pict>
      </w:r>
    </w:p>
    <w:bookmarkEnd w:id="34"/>
    <w:bookmarkStart w:id="35" w:name="X3fc61c48416904d4e9c1ca3d270374ff87b6758"/>
    <w:p>
      <w:pPr>
        <w:pStyle w:val="Heading2"/>
      </w:pPr>
      <w:r>
        <w:t xml:space="preserve">DELIVERABLE 4 – CEFORE-RUSI Profile (Karuzi, Burundi)</w:t>
      </w:r>
    </w:p>
    <w:p>
      <w:pPr>
        <w:pStyle w:val="FirstParagraph"/>
      </w:pPr>
      <w:r>
        <w:rPr>
          <w:bCs/>
          <w:b/>
        </w:rPr>
        <w:t xml:space="preserve">Full name / acronym:</w:t>
      </w:r>
      <w:r>
        <w:t xml:space="preserve"> </w:t>
      </w:r>
      <w:r>
        <w:t xml:space="preserve">Centre de Formation Polytechnique et de Reconversion Professionnelle de RUSI (CEFORE-RUSI) –</w:t>
      </w:r>
      <w:r>
        <w:t xml:space="preserve"> </w:t>
      </w:r>
      <w:r>
        <w:t xml:space="preserve">“</w:t>
      </w:r>
      <w:r>
        <w:t xml:space="preserve">RUSI Public Polytechnic and Vocational Retraining Center.</w:t>
      </w:r>
      <w:r>
        <w:t xml:space="preserve">”</w:t>
      </w:r>
      <w:r>
        <w:t xml:space="preserve"> </w:t>
      </w:r>
      <w:r>
        <w:t xml:space="preserve">Located on Colline Rusi, Commune Shombo, Karuzi (Karusi) Province. Earlier referenced as the Centre Regional Multisectoriel / CRFTPP de Rusi.</w:t>
      </w:r>
    </w:p>
    <w:p>
      <w:pPr>
        <w:pStyle w:val="BodyText"/>
      </w:pPr>
      <w:r>
        <w:rPr>
          <w:bCs/>
          <w:b/>
        </w:rPr>
        <w:t xml:space="preserve">Legal status:</w:t>
      </w:r>
      <w:r>
        <w:t xml:space="preserve"> </w:t>
      </w:r>
      <w:r>
        <w:t xml:space="preserve">Public institution of the State of Burundi, licensed to deliver Level I of higher technical and vocational education under the National Framework of Qualification and Certification; implemented under the Ministry of East African Community Affairs, Youth, Sports and Culture (MEAC) in collaboration with the Ministry of National Education and Scientific Research.</w:t>
      </w:r>
    </w:p>
    <w:p>
      <w:pPr>
        <w:pStyle w:val="BodyText"/>
      </w:pPr>
      <w:r>
        <w:rPr>
          <w:bCs/>
          <w:b/>
        </w:rPr>
        <w:t xml:space="preserve">Campus &amp; facilities:</w:t>
      </w:r>
      <w:r>
        <w:t xml:space="preserve"> </w:t>
      </w:r>
      <w:r>
        <w:t xml:space="preserve">142-hectare site (AfDB reference); the built training core (dormitories, workshops, classrooms) has a capacity cited at 1,080 trainees (boarding + day), with a broader ~12-ha built footprint within the 142 ha. Officially inaugurated 15 September 2022 by President Evariste Ndayishimiye (its personal champion</w:t>
      </w:r>
      <w:r>
        <w:t xml:space="preserve"> </w:t>
      </w:r>
      <w:r>
        <w:t xml:space="preserve">“</w:t>
      </w:r>
      <w:r>
        <w:t xml:space="preserve">from conception to implementation</w:t>
      </w:r>
      <w:r>
        <w:t xml:space="preserve">”</w:t>
      </w:r>
      <w:r>
        <w:t xml:space="preserve">). Training is ~80% practical.</w:t>
      </w:r>
    </w:p>
    <w:p>
      <w:pPr>
        <w:pStyle w:val="BodyText"/>
      </w:pPr>
      <w:r>
        <w:rPr>
          <w:bCs/>
          <w:b/>
        </w:rPr>
        <w:t xml:space="preserve">AfDB equipment donation &amp; PEAPJF linkage:</w:t>
      </w:r>
      <w:r>
        <w:t xml:space="preserve"> </w:t>
      </w:r>
      <w:r>
        <w:t xml:space="preserve">The AfDB Board approved (6 October 2022, Abidjan) a US$23.26m grant to Burundi for the Projet d’Entrepreneuriat Agro-Pastoral et de Perfectionnement Professionnel des Jeunes et des Femmes (PEAPJF) – AfDB funds 87.9% (~US$20.45m) with a 12.1% (~US$2.81m) government counterpart; 5-year horizon (2022–2027). CEFORE-RUSI is the principal beneficiary. On 26 June 2025, AfDB formally handed over pedagogical and agropastoral production equipment to the center (ceremony attended by the President and First Lady). Targets: ~2,000 students in certifying/diploma programs (30% female), ~3,000 cooperatives / 15,000 members (50% women) receiving capacity-building, and ~10,000 jobs (3,000 direct + 7,000 indirect).</w:t>
      </w:r>
    </w:p>
    <w:p>
      <w:pPr>
        <w:pStyle w:val="BodyText"/>
      </w:pPr>
      <w:r>
        <w:rPr>
          <w:bCs/>
          <w:b/>
        </w:rPr>
        <w:t xml:space="preserve">Presidential-project status:</w:t>
      </w:r>
      <w:r>
        <w:t xml:space="preserve"> </w:t>
      </w:r>
      <w:r>
        <w:t xml:space="preserve">Explicitly a presidential flagship – the President personally supported it from conception to implementation, visited the construction site (14 Jan 2022 at ~80% completion), and it is framed as core to Vision</w:t>
      </w:r>
      <w:r>
        <w:t xml:space="preserve"> </w:t>
      </w:r>
      <w:r>
        <w:t xml:space="preserve">“</w:t>
      </w:r>
      <w:r>
        <w:t xml:space="preserve">Burundi emergent 2040 / developpe 2060.</w:t>
      </w:r>
      <w:r>
        <w:t xml:space="preserve">”</w:t>
      </w:r>
      <w:r>
        <w:t xml:space="preserve"> </w:t>
      </w:r>
      <w:r>
        <w:t xml:space="preserve">AfDB’s country manager Pascal Yembiline called it a future regional center of excellence at the crossroads of technical learning and entrepreneurship.</w:t>
      </w:r>
    </w:p>
    <w:p>
      <w:pPr>
        <w:pStyle w:val="BodyText"/>
      </w:pPr>
      <w:r>
        <w:rPr>
          <w:bCs/>
          <w:b/>
        </w:rPr>
        <w:t xml:space="preserve">Leadership:</w:t>
      </w:r>
      <w:r>
        <w:t xml:space="preserve"> </w:t>
      </w:r>
      <w:r>
        <w:t xml:space="preserve">Director Dr. Bonaventure Dusabe (also rendered</w:t>
      </w:r>
      <w:r>
        <w:t xml:space="preserve"> </w:t>
      </w:r>
      <w:r>
        <w:t xml:space="preserve">“</w:t>
      </w:r>
      <w:r>
        <w:t xml:space="preserve">Dusare</w:t>
      </w:r>
      <w:r>
        <w:t xml:space="preserve">”</w:t>
      </w:r>
      <w:r>
        <w:t xml:space="preserve">).</w:t>
      </w:r>
    </w:p>
    <w:p>
      <w:pPr>
        <w:pStyle w:val="BodyText"/>
      </w:pPr>
      <w:r>
        <w:rPr>
          <w:bCs/>
          <w:b/>
        </w:rPr>
        <w:t xml:space="preserve">Training programs:</w:t>
      </w:r>
      <w:r>
        <w:t xml:space="preserve"> </w:t>
      </w:r>
      <w:r>
        <w:t xml:space="preserve">crop production, pastoral/livestock training, agri-food processing technology, cooperative &amp; association management, building construction (eco-BTP), electromechanics, electricity, auto/motorcycle mechanics; plus transversal modules (leadership, English, ethics, teamwork, public speaking, financial education, time management). Stated ambition: a pole of innovation across green energy, electromechanics, agropastoral and ecological construction. Also runs short modular courses (6–12 weeks).</w:t>
      </w:r>
    </w:p>
    <w:p>
      <w:pPr>
        <w:pStyle w:val="BodyText"/>
      </w:pPr>
      <w:r>
        <w:rPr>
          <w:bCs/>
          <w:b/>
        </w:rPr>
        <w:t xml:space="preserve">Fit for PURE Power Africa (collaboration agreement rationale):</w:t>
      </w:r>
      <w:r>
        <w:t xml:space="preserve"> </w:t>
      </w:r>
      <w:r>
        <w:t xml:space="preserve">A 142-ha presidential campus already equipped for agropastoral + electromechanical + electrical + green-energy training is a near-ideal continental HQ + first-hub + train-the-trainer center. Functions the site could host:</w:t>
      </w:r>
      <w:r>
        <w:t xml:space="preserve"> </w:t>
      </w:r>
      <w:r>
        <w:t xml:space="preserve">- Continental training academy (train-the-trainers; co-brand with TDB Academy and AAIN mentor network).</w:t>
      </w:r>
      <w:r>
        <w:t xml:space="preserve"> </w:t>
      </w:r>
      <w:r>
        <w:t xml:space="preserve">- Demonstration agro-energy hub (solar-powered irrigation, milling, cold chain, agri-processing lines) as a live classroom.</w:t>
      </w:r>
      <w:r>
        <w:t xml:space="preserve"> </w:t>
      </w:r>
      <w:r>
        <w:t xml:space="preserve">- Equipment staging/assembly and quality-control depot for hub roll-out.</w:t>
      </w:r>
      <w:r>
        <w:t xml:space="preserve"> </w:t>
      </w:r>
      <w:r>
        <w:t xml:space="preserve">- E-mobility depot (charging + maintenance for electric motorcycles/tricycles).</w:t>
      </w:r>
      <w:r>
        <w:t xml:space="preserve"> </w:t>
      </w:r>
      <w:r>
        <w:t xml:space="preserve">- Incubation/agripreneur center linked to the 3,000-cooperative PEAPJF target.</w:t>
      </w:r>
    </w:p>
    <w:p>
      <w:pPr>
        <w:pStyle w:val="BodyText"/>
      </w:pPr>
      <w:r>
        <w:rPr>
          <w:bCs/>
          <w:b/>
        </w:rPr>
        <w:t xml:space="preserve">Precedents:</w:t>
      </w:r>
      <w:r>
        <w:t xml:space="preserve"> </w:t>
      </w:r>
      <w:r>
        <w:t xml:space="preserve">GEAPP x World Bank launched a Nairobi Center of Excellence for productive use of energy (2025–26); AAIN’s design of agribusiness incubators inside Ethiopia’s Integrated Agro-Industrial Parks and Ghana’s REP/Enable regional incubators; SEFA’s regional technical-assistance/PPP models – all show the model of anchoring a training/demonstration node and franchising it outward.</w:t>
      </w:r>
    </w:p>
    <w:p>
      <w:pPr>
        <w:pStyle w:val="BodyText"/>
      </w:pPr>
      <w:r>
        <w:t xml:space="preserve">Confidence &amp; data gaps (D4): HIGH on name, location, presidential status, PEAPJF/AfDB grant, 142-ha figure (AfDB), capacity (1,080), director, program list, inauguration date. MEDIUM on current live enrollment/staff headcount (targets vs. actuals not separately verified). The 142-ha vs. ~12-ha built-core distinction should be confirmed on site.</w:t>
      </w:r>
    </w:p>
    <w:p>
      <w:r>
        <w:pict>
          <v:rect style="width:0;height:1.5pt" o:hralign="center" o:hrstd="t" o:hr="t"/>
        </w:pict>
      </w:r>
    </w:p>
    <w:bookmarkEnd w:id="35"/>
    <w:bookmarkStart w:id="36" w:name="Xf7e197f411b49af05028cce59858ece1cd532d6"/>
    <w:p>
      <w:pPr>
        <w:pStyle w:val="Heading2"/>
      </w:pPr>
      <w:r>
        <w:t xml:space="preserve">DELIVERABLE 5 – Funding Menu (Government of Burundi + Program: HQ + First Hub + Continental Launch)</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Funder / window</w:t>
            </w:r>
          </w:p>
        </w:tc>
        <w:tc>
          <w:tcPr/>
          <w:p>
            <w:pPr>
              <w:pStyle w:val="Compact"/>
              <w:jc w:val="left"/>
            </w:pPr>
            <w:r>
              <w:t xml:space="preserve">Instrument</w:t>
            </w:r>
          </w:p>
        </w:tc>
        <w:tc>
          <w:tcPr/>
          <w:p>
            <w:pPr>
              <w:pStyle w:val="Compact"/>
              <w:jc w:val="left"/>
            </w:pPr>
            <w:r>
              <w:t xml:space="preserve">Route</w:t>
            </w:r>
          </w:p>
        </w:tc>
        <w:tc>
          <w:tcPr/>
          <w:p>
            <w:pPr>
              <w:pStyle w:val="Compact"/>
              <w:jc w:val="left"/>
            </w:pPr>
            <w:r>
              <w:t xml:space="preserve">Indicative ticket</w:t>
            </w:r>
          </w:p>
        </w:tc>
        <w:tc>
          <w:tcPr/>
          <w:p>
            <w:pPr>
              <w:pStyle w:val="Compact"/>
              <w:jc w:val="left"/>
            </w:pPr>
            <w:r>
              <w:t xml:space="preserve">Window / status</w:t>
            </w:r>
          </w:p>
        </w:tc>
        <w:tc>
          <w:tcPr/>
          <w:p>
            <w:pPr>
              <w:pStyle w:val="Compact"/>
              <w:jc w:val="left"/>
            </w:pPr>
            <w:r>
              <w:t xml:space="preserve">Fit</w:t>
            </w:r>
          </w:p>
        </w:tc>
      </w:tr>
      <w:tr>
        <w:tc>
          <w:tcPr/>
          <w:p>
            <w:pPr>
              <w:pStyle w:val="Compact"/>
              <w:jc w:val="left"/>
            </w:pPr>
            <w:r>
              <w:t xml:space="preserve">Rockefeller Foundation / RF Catalytic Capital</w:t>
            </w:r>
          </w:p>
        </w:tc>
        <w:tc>
          <w:tcPr/>
          <w:p>
            <w:pPr>
              <w:pStyle w:val="Compact"/>
              <w:jc w:val="left"/>
            </w:pPr>
            <w:r>
              <w:t xml:space="preserve">Catalytic grants; expert-roster facility (with Allied Talent Partners) for Mission 300 delivery</w:t>
            </w:r>
          </w:p>
        </w:tc>
        <w:tc>
          <w:tcPr/>
          <w:p>
            <w:pPr>
              <w:pStyle w:val="Compact"/>
              <w:jc w:val="left"/>
            </w:pPr>
            <w:r>
              <w:t xml:space="preserve">Program-direct or via M300 partners</w:t>
            </w:r>
          </w:p>
        </w:tc>
        <w:tc>
          <w:tcPr/>
          <w:p>
            <w:pPr>
              <w:pStyle w:val="Compact"/>
              <w:jc w:val="left"/>
            </w:pPr>
            <w:r>
              <w:t xml:space="preserve">Grants typically hundreds of thousands–low millions</w:t>
            </w:r>
          </w:p>
        </w:tc>
        <w:tc>
          <w:tcPr/>
          <w:p>
            <w:pPr>
              <w:pStyle w:val="Compact"/>
              <w:jc w:val="left"/>
            </w:pPr>
            <w:r>
              <w:t xml:space="preserve">Active Mission 300 anchor partner</w:t>
            </w:r>
          </w:p>
        </w:tc>
        <w:tc>
          <w:tcPr/>
          <w:p>
            <w:pPr>
              <w:pStyle w:val="Compact"/>
              <w:jc w:val="left"/>
            </w:pPr>
            <w:r>
              <w:t xml:space="preserve">Frame as M300 delivery accelerator</w:t>
            </w:r>
          </w:p>
        </w:tc>
      </w:tr>
      <w:tr>
        <w:tc>
          <w:tcPr/>
          <w:p>
            <w:pPr>
              <w:pStyle w:val="Compact"/>
              <w:jc w:val="left"/>
            </w:pPr>
            <w:r>
              <w:t xml:space="preserve">GEAPP (launched COP26, 2 Nov 2021; $10B+ aligned investments – up to $1.5B from anchors RF/Bezos Earth Fund/IKEA Fdn + ~$9B from 8 investment partners)</w:t>
            </w:r>
          </w:p>
        </w:tc>
        <w:tc>
          <w:tcPr/>
          <w:p>
            <w:pPr>
              <w:pStyle w:val="Compact"/>
              <w:jc w:val="left"/>
            </w:pPr>
            <w:r>
              <w:t xml:space="preserve">Grants, concessional debt, guarantees, junior equity; Productive-Use Financing Facility (PUFF, with CLASP)</w:t>
            </w:r>
          </w:p>
        </w:tc>
        <w:tc>
          <w:tcPr/>
          <w:p>
            <w:pPr>
              <w:pStyle w:val="Compact"/>
              <w:jc w:val="left"/>
            </w:pPr>
            <w:r>
              <w:t xml:space="preserve">Program-direct or via IFC/ADB facilities</w:t>
            </w:r>
          </w:p>
        </w:tc>
        <w:tc>
          <w:tcPr/>
          <w:p>
            <w:pPr>
              <w:pStyle w:val="Compact"/>
              <w:jc w:val="left"/>
            </w:pPr>
            <w:r>
              <w:t xml:space="preserve">PUFF expansion US$6.1m; IFC-GEAPP blended facility US$25m (+US$5m upstream)</w:t>
            </w:r>
          </w:p>
        </w:tc>
        <w:tc>
          <w:tcPr/>
          <w:p>
            <w:pPr>
              <w:pStyle w:val="Compact"/>
              <w:jc w:val="left"/>
            </w:pPr>
            <w:r>
              <w:t xml:space="preserve">Active; PUFF currently Nigeria/Ethiopia/Kenya</w:t>
            </w:r>
          </w:p>
        </w:tc>
        <w:tc>
          <w:tcPr/>
          <w:p>
            <w:pPr>
              <w:pStyle w:val="Compact"/>
              <w:jc w:val="left"/>
            </w:pPr>
            <w:r>
              <w:t xml:space="preserve">Direct fit: solar mills, pumps, cold storage (productive use)</w:t>
            </w:r>
          </w:p>
        </w:tc>
      </w:tr>
      <w:tr>
        <w:tc>
          <w:tcPr/>
          <w:p>
            <w:pPr>
              <w:pStyle w:val="Compact"/>
              <w:jc w:val="left"/>
            </w:pPr>
            <w:r>
              <w:t xml:space="preserve">Mastercard Foundation – Young Africa Works</w:t>
            </w:r>
          </w:p>
        </w:tc>
        <w:tc>
          <w:tcPr/>
          <w:p>
            <w:pPr>
              <w:pStyle w:val="Compact"/>
              <w:jc w:val="left"/>
            </w:pPr>
            <w:r>
              <w:t xml:space="preserve">Country programs; youth employment/agriculture; scholars</w:t>
            </w:r>
          </w:p>
        </w:tc>
        <w:tc>
          <w:tcPr/>
          <w:p>
            <w:pPr>
              <w:pStyle w:val="Compact"/>
              <w:jc w:val="left"/>
            </w:pPr>
            <w:r>
              <w:t xml:space="preserve">Via country partners</w:t>
            </w:r>
          </w:p>
        </w:tc>
        <w:tc>
          <w:tcPr/>
          <w:p>
            <w:pPr>
              <w:pStyle w:val="Compact"/>
              <w:jc w:val="left"/>
            </w:pPr>
            <w:r>
              <w:t xml:space="preserve">Country programs at scale (e.g., Uganda US$200m over decade)</w:t>
            </w:r>
          </w:p>
        </w:tc>
        <w:tc>
          <w:tcPr/>
          <w:p>
            <w:pPr>
              <w:pStyle w:val="Compact"/>
              <w:jc w:val="left"/>
            </w:pPr>
            <w:r>
              <w:t xml:space="preserve">Regional Associate Program (2026) explicitly includes Burundi; no confirmed standalone YAW country program in Burundi</w:t>
            </w:r>
          </w:p>
        </w:tc>
        <w:tc>
          <w:tcPr/>
          <w:p>
            <w:pPr>
              <w:pStyle w:val="Compact"/>
              <w:jc w:val="left"/>
            </w:pPr>
            <w:r>
              <w:t xml:space="preserve">Youth training / CEFORE linkage; confirm Burundi entry</w:t>
            </w:r>
          </w:p>
        </w:tc>
      </w:tr>
      <w:tr>
        <w:tc>
          <w:tcPr/>
          <w:p>
            <w:pPr>
              <w:pStyle w:val="Compact"/>
              <w:jc w:val="left"/>
            </w:pPr>
            <w:r>
              <w:t xml:space="preserve">Shell Foundation</w:t>
            </w:r>
          </w:p>
        </w:tc>
        <w:tc>
          <w:tcPr/>
          <w:p>
            <w:pPr>
              <w:pStyle w:val="Compact"/>
              <w:jc w:val="left"/>
            </w:pPr>
            <w:r>
              <w:t xml:space="preserve">Early-stage grants + catalytic capital for energy-access enterprises</w:t>
            </w:r>
          </w:p>
        </w:tc>
        <w:tc>
          <w:tcPr/>
          <w:p>
            <w:pPr>
              <w:pStyle w:val="Compact"/>
              <w:jc w:val="left"/>
            </w:pPr>
            <w:r>
              <w:t xml:space="preserve">Program/enterprise-direct</w:t>
            </w:r>
          </w:p>
        </w:tc>
        <w:tc>
          <w:tcPr/>
          <w:p>
            <w:pPr>
              <w:pStyle w:val="Compact"/>
              <w:jc w:val="left"/>
            </w:pPr>
            <w:r>
              <w:t xml:space="preserve">Typically catalytic grants</w:t>
            </w:r>
          </w:p>
        </w:tc>
        <w:tc>
          <w:tcPr/>
          <w:p>
            <w:pPr>
              <w:pStyle w:val="Compact"/>
              <w:jc w:val="left"/>
            </w:pPr>
            <w:r>
              <w:t xml:space="preserve">Ongoing</w:t>
            </w:r>
          </w:p>
        </w:tc>
        <w:tc>
          <w:tcPr/>
          <w:p>
            <w:pPr>
              <w:pStyle w:val="Compact"/>
              <w:jc w:val="left"/>
            </w:pPr>
            <w:r>
              <w:t xml:space="preserve">Enterprise incubation for hub operators</w:t>
            </w:r>
          </w:p>
        </w:tc>
      </w:tr>
      <w:tr>
        <w:tc>
          <w:tcPr/>
          <w:p>
            <w:pPr>
              <w:pStyle w:val="Compact"/>
              <w:jc w:val="left"/>
            </w:pPr>
            <w:r>
              <w:t xml:space="preserve">World Bank – IDA / ASCENT Burundi (P181494)</w:t>
            </w:r>
          </w:p>
        </w:tc>
        <w:tc>
          <w:tcPr/>
          <w:p>
            <w:pPr>
              <w:pStyle w:val="Compact"/>
              <w:jc w:val="left"/>
            </w:pPr>
            <w:r>
              <w:t xml:space="preserve">IDA credits/grants; Phase 7 of ASCENT MPA (approved 28 Nov 2023, US$5bn IDA envelope within a US$15bn program, 100m people, up to 20 countries)</w:t>
            </w:r>
          </w:p>
        </w:tc>
        <w:tc>
          <w:tcPr/>
          <w:p>
            <w:pPr>
              <w:pStyle w:val="Compact"/>
              <w:jc w:val="left"/>
            </w:pPr>
            <w:r>
              <w:t xml:space="preserve">Sovereign (Gov. of Burundi) → REGIDESO + Weza Power</w:t>
            </w:r>
          </w:p>
        </w:tc>
        <w:tc>
          <w:tcPr/>
          <w:p>
            <w:pPr>
              <w:pStyle w:val="Compact"/>
              <w:jc w:val="left"/>
            </w:pPr>
            <w:r>
              <w:t xml:space="preserve">Additional Financing (P508909, approved 19 Dec 2024): IDA Grant US$50.0m; MIGA guarantee US$2.0m; total project cost US$185.0m</w:t>
            </w:r>
          </w:p>
        </w:tc>
        <w:tc>
          <w:tcPr/>
          <w:p>
            <w:pPr>
              <w:pStyle w:val="Compact"/>
              <w:jc w:val="left"/>
            </w:pPr>
            <w:r>
              <w:t xml:space="preserve">Active</w:t>
            </w:r>
          </w:p>
        </w:tc>
        <w:tc>
          <w:tcPr/>
          <w:p>
            <w:pPr>
              <w:pStyle w:val="Compact"/>
              <w:jc w:val="left"/>
            </w:pPr>
            <w:r>
              <w:t xml:space="preserve">Name PURE Power Africa as a component/delivery partner</w:t>
            </w:r>
          </w:p>
        </w:tc>
      </w:tr>
      <w:tr>
        <w:tc>
          <w:tcPr/>
          <w:p>
            <w:pPr>
              <w:pStyle w:val="Compact"/>
              <w:jc w:val="left"/>
            </w:pPr>
            <w:r>
              <w:t xml:space="preserve">World Bank / Mission 300</w:t>
            </w:r>
          </w:p>
        </w:tc>
        <w:tc>
          <w:tcPr/>
          <w:p>
            <w:pPr>
              <w:pStyle w:val="Compact"/>
              <w:jc w:val="left"/>
            </w:pPr>
            <w:r>
              <w:t xml:space="preserve">National Energy Compact implementation; reforms + investment</w:t>
            </w:r>
          </w:p>
        </w:tc>
        <w:tc>
          <w:tcPr/>
          <w:p>
            <w:pPr>
              <w:pStyle w:val="Compact"/>
              <w:jc w:val="left"/>
            </w:pPr>
            <w:r>
              <w:t xml:space="preserve">Sovereign; compact-aligned</w:t>
            </w:r>
          </w:p>
        </w:tc>
        <w:tc>
          <w:tcPr/>
          <w:p>
            <w:pPr>
              <w:pStyle w:val="Compact"/>
              <w:jc w:val="left"/>
            </w:pPr>
            <w:r>
              <w:t xml:space="preserve">–</w:t>
            </w:r>
          </w:p>
        </w:tc>
        <w:tc>
          <w:tcPr/>
          <w:p>
            <w:pPr>
              <w:pStyle w:val="Compact"/>
              <w:jc w:val="left"/>
            </w:pPr>
            <w:r>
              <w:t xml:space="preserve">Burundi compact signed Sept 2025 (Cohort 2)</w:t>
            </w:r>
          </w:p>
        </w:tc>
        <w:tc>
          <w:tcPr/>
          <w:p>
            <w:pPr>
              <w:pStyle w:val="Compact"/>
              <w:jc w:val="left"/>
            </w:pPr>
            <w:r>
              <w:t xml:space="preserve">Anchor political framing</w:t>
            </w:r>
          </w:p>
        </w:tc>
      </w:tr>
      <w:tr>
        <w:tc>
          <w:tcPr/>
          <w:p>
            <w:pPr>
              <w:pStyle w:val="Compact"/>
              <w:jc w:val="left"/>
            </w:pPr>
            <w:r>
              <w:t xml:space="preserve">AfDB – SEFA</w:t>
            </w:r>
          </w:p>
        </w:tc>
        <w:tc>
          <w:tcPr/>
          <w:p>
            <w:pPr>
              <w:pStyle w:val="Compact"/>
              <w:jc w:val="left"/>
            </w:pPr>
            <w:r>
              <w:t xml:space="preserve">Catalytic grants (project prep for US$30–200m projects; enabling env.; equity)</w:t>
            </w:r>
          </w:p>
        </w:tc>
        <w:tc>
          <w:tcPr/>
          <w:p>
            <w:pPr>
              <w:pStyle w:val="Compact"/>
              <w:jc w:val="left"/>
            </w:pPr>
            <w:r>
              <w:t xml:space="preserve">AfDB-championed; sovereign/private</w:t>
            </w:r>
          </w:p>
        </w:tc>
        <w:tc>
          <w:tcPr/>
          <w:p>
            <w:pPr>
              <w:pStyle w:val="Compact"/>
              <w:jc w:val="left"/>
            </w:pPr>
            <w:r>
              <w:t xml:space="preserve">Grants ~US$0.6m–US$8m (e.g., US$600k to Weza Power via SEFA’s regional TA program for PPPs in transmission &amp; distribution; US$4m BEEP; US$5.65m P-REC; US$7.88m AETC)</w:t>
            </w:r>
          </w:p>
        </w:tc>
        <w:tc>
          <w:tcPr/>
          <w:p>
            <w:pPr>
              <w:pStyle w:val="Compact"/>
              <w:jc w:val="left"/>
            </w:pPr>
            <w:r>
              <w:t xml:space="preserve">Active; 5–9 month turnaround</w:t>
            </w:r>
          </w:p>
        </w:tc>
        <w:tc>
          <w:tcPr/>
          <w:p>
            <w:pPr>
              <w:pStyle w:val="Compact"/>
              <w:jc w:val="left"/>
            </w:pPr>
            <w:r>
              <w:t xml:space="preserve">DRE/clean-cooking project prep</w:t>
            </w:r>
          </w:p>
        </w:tc>
      </w:tr>
      <w:tr>
        <w:tc>
          <w:tcPr/>
          <w:p>
            <w:pPr>
              <w:pStyle w:val="Compact"/>
              <w:jc w:val="left"/>
            </w:pPr>
            <w:r>
              <w:t xml:space="preserve">AfDB – Jobs for Youth in Africa (2016–2025)</w:t>
            </w:r>
          </w:p>
        </w:tc>
        <w:tc>
          <w:tcPr/>
          <w:p>
            <w:pPr>
              <w:pStyle w:val="Compact"/>
              <w:jc w:val="left"/>
            </w:pPr>
            <w:r>
              <w:t xml:space="preserve">Youth employment/agripreneur finance + TA</w:t>
            </w:r>
          </w:p>
        </w:tc>
        <w:tc>
          <w:tcPr/>
          <w:p>
            <w:pPr>
              <w:pStyle w:val="Compact"/>
              <w:jc w:val="left"/>
            </w:pPr>
            <w:r>
              <w:t xml:space="preserve">Sovereign/partner</w:t>
            </w:r>
          </w:p>
        </w:tc>
        <w:tc>
          <w:tcPr/>
          <w:p>
            <w:pPr>
              <w:pStyle w:val="Compact"/>
              <w:jc w:val="left"/>
            </w:pPr>
            <w:r>
              <w:t xml:space="preserve">Program-level (25m jobs / 50m youth target)</w:t>
            </w:r>
          </w:p>
        </w:tc>
        <w:tc>
          <w:tcPr/>
          <w:p>
            <w:pPr>
              <w:pStyle w:val="Compact"/>
              <w:jc w:val="left"/>
            </w:pPr>
            <w:r>
              <w:t xml:space="preserve">Strategy period ended 2025; successor likely</w:t>
            </w:r>
          </w:p>
        </w:tc>
        <w:tc>
          <w:tcPr/>
          <w:p>
            <w:pPr>
              <w:pStyle w:val="Compact"/>
              <w:jc w:val="left"/>
            </w:pPr>
            <w:r>
              <w:t xml:space="preserve">CEFORE/agripreneur linkage</w:t>
            </w:r>
          </w:p>
        </w:tc>
      </w:tr>
      <w:tr>
        <w:tc>
          <w:tcPr/>
          <w:p>
            <w:pPr>
              <w:pStyle w:val="Compact"/>
              <w:jc w:val="left"/>
            </w:pPr>
            <w:r>
              <w:t xml:space="preserve">AfDB – PEAPJF (precedent, live)</w:t>
            </w:r>
          </w:p>
        </w:tc>
        <w:tc>
          <w:tcPr/>
          <w:p>
            <w:pPr>
              <w:pStyle w:val="Compact"/>
              <w:jc w:val="left"/>
            </w:pPr>
            <w:r>
              <w:t xml:space="preserve">Grant to Burundi (87.9%)</w:t>
            </w:r>
          </w:p>
        </w:tc>
        <w:tc>
          <w:tcPr/>
          <w:p>
            <w:pPr>
              <w:pStyle w:val="Compact"/>
              <w:jc w:val="left"/>
            </w:pPr>
            <w:r>
              <w:t xml:space="preserve">Sovereign (MEAC)</w:t>
            </w:r>
          </w:p>
        </w:tc>
        <w:tc>
          <w:tcPr/>
          <w:p>
            <w:pPr>
              <w:pStyle w:val="Compact"/>
              <w:jc w:val="left"/>
            </w:pPr>
            <w:r>
              <w:t xml:space="preserve">US$23.26m</w:t>
            </w:r>
          </w:p>
        </w:tc>
        <w:tc>
          <w:tcPr/>
          <w:p>
            <w:pPr>
              <w:pStyle w:val="Compact"/>
              <w:jc w:val="left"/>
            </w:pPr>
            <w:r>
              <w:t xml:space="preserve">Active 2022–2027</w:t>
            </w:r>
          </w:p>
        </w:tc>
        <w:tc>
          <w:tcPr/>
          <w:p>
            <w:pPr>
              <w:pStyle w:val="Compact"/>
              <w:jc w:val="left"/>
            </w:pPr>
            <w:r>
              <w:t xml:space="preserve">Direct co-location with CEFORE-RUSI</w:t>
            </w:r>
          </w:p>
        </w:tc>
      </w:tr>
      <w:tr>
        <w:tc>
          <w:tcPr/>
          <w:p>
            <w:pPr>
              <w:pStyle w:val="Compact"/>
              <w:jc w:val="left"/>
            </w:pPr>
            <w:r>
              <w:t xml:space="preserve">UNDP Burundi</w:t>
            </w:r>
          </w:p>
        </w:tc>
        <w:tc>
          <w:tcPr/>
          <w:p>
            <w:pPr>
              <w:pStyle w:val="Compact"/>
              <w:jc w:val="left"/>
            </w:pPr>
            <w:r>
              <w:t xml:space="preserve">Energy access / rural development; mini-grid support</w:t>
            </w:r>
          </w:p>
        </w:tc>
        <w:tc>
          <w:tcPr/>
          <w:p>
            <w:pPr>
              <w:pStyle w:val="Compact"/>
              <w:jc w:val="left"/>
            </w:pPr>
            <w:r>
              <w:t xml:space="preserve">Sovereign/UN</w:t>
            </w:r>
          </w:p>
        </w:tc>
        <w:tc>
          <w:tcPr/>
          <w:p>
            <w:pPr>
              <w:pStyle w:val="Compact"/>
              <w:jc w:val="left"/>
            </w:pPr>
            <w:r>
              <w:t xml:space="preserve">Project-scale</w:t>
            </w:r>
          </w:p>
        </w:tc>
        <w:tc>
          <w:tcPr/>
          <w:p>
            <w:pPr>
              <w:pStyle w:val="Compact"/>
              <w:jc w:val="left"/>
            </w:pPr>
            <w:r>
              <w:t xml:space="preserve">Active (regional mini-grid programs)</w:t>
            </w:r>
          </w:p>
        </w:tc>
        <w:tc>
          <w:tcPr/>
          <w:p>
            <w:pPr>
              <w:pStyle w:val="Compact"/>
              <w:jc w:val="left"/>
            </w:pPr>
            <w:r>
              <w:t xml:space="preserve">Complementary TA</w:t>
            </w:r>
          </w:p>
        </w:tc>
      </w:tr>
      <w:tr>
        <w:tc>
          <w:tcPr/>
          <w:p>
            <w:pPr>
              <w:pStyle w:val="Compact"/>
              <w:jc w:val="left"/>
            </w:pPr>
            <w:r>
              <w:t xml:space="preserve">Family offices / philanthropy</w:t>
            </w:r>
          </w:p>
        </w:tc>
        <w:tc>
          <w:tcPr/>
          <w:p>
            <w:pPr>
              <w:pStyle w:val="Compact"/>
              <w:jc w:val="left"/>
            </w:pPr>
            <w:r>
              <w:t xml:space="preserve">Direct grants/impact equity</w:t>
            </w:r>
          </w:p>
        </w:tc>
        <w:tc>
          <w:tcPr/>
          <w:p>
            <w:pPr>
              <w:pStyle w:val="Compact"/>
              <w:jc w:val="left"/>
            </w:pPr>
            <w:r>
              <w:t xml:space="preserve">Program-direct</w:t>
            </w:r>
          </w:p>
        </w:tc>
        <w:tc>
          <w:tcPr/>
          <w:p>
            <w:pPr>
              <w:pStyle w:val="Compact"/>
              <w:jc w:val="left"/>
            </w:pPr>
            <w:r>
              <w:t xml:space="preserve">Variable</w:t>
            </w:r>
          </w:p>
        </w:tc>
        <w:tc>
          <w:tcPr/>
          <w:p>
            <w:pPr>
              <w:pStyle w:val="Compact"/>
              <w:jc w:val="left"/>
            </w:pPr>
            <w:r>
              <w:t xml:space="preserve">Ongoing</w:t>
            </w:r>
          </w:p>
        </w:tc>
        <w:tc>
          <w:tcPr/>
          <w:p>
            <w:pPr>
              <w:pStyle w:val="Compact"/>
              <w:jc w:val="left"/>
            </w:pPr>
            <w:r>
              <w:t xml:space="preserve">Fill catalytic gaps</w:t>
            </w:r>
          </w:p>
        </w:tc>
      </w:tr>
    </w:tbl>
    <w:p>
      <w:pPr>
        <w:pStyle w:val="BodyText"/>
      </w:pPr>
      <w:r>
        <w:rPr>
          <w:bCs/>
          <w:b/>
        </w:rPr>
        <w:t xml:space="preserve">Which funders reward government-endorsed flagships / AU-chairmanship windows:</w:t>
      </w:r>
      <w:r>
        <w:t xml:space="preserve"> </w:t>
      </w:r>
      <w:r>
        <w:t xml:space="preserve">Mission 300 partners (World Bank, AfDB, Rockefeller/GEAPP, SEforALL) explicitly prioritize government-endorsed National Energy Compact-aligned programs; AfDB SEFA is structured to respond to AfDB-championed, government-backed requests; GEAPP’s government-enablement lever favors state-endorsed programs. The AU chairmanship (theme: water security &amp; sanitation) is a strong framing window for a water-linked agro-energy program (solar irrigation, water pumping).</w:t>
      </w:r>
    </w:p>
    <w:p>
      <w:pPr>
        <w:pStyle w:val="BodyText"/>
      </w:pPr>
      <w:r>
        <w:t xml:space="preserve">Confidence &amp; data gaps (D5): MEDIUM-HIGH on funder existence, instruments and representative ticket sizes. ASCENT Burundi additional-financing IDA grant confirmed at US$50m. LOW remaining on: (a) whether Mastercard Foundation runs a dedicated Young Africa Works country program in Burundi (only a regional Associate Program listing Burundi is confirmed); (b) live application deadlines – most windows are rolling/relationship-driven, not fixed-call.</w:t>
      </w:r>
    </w:p>
    <w:p>
      <w:r>
        <w:pict>
          <v:rect style="width:0;height:1.5pt" o:hralign="center" o:hrstd="t" o:hr="t"/>
        </w:pict>
      </w:r>
    </w:p>
    <w:bookmarkEnd w:id="36"/>
    <w:bookmarkStart w:id="41" w:name="Xb33a48838fe6187ae991aea121da6c277f1e165"/>
    <w:p>
      <w:pPr>
        <w:pStyle w:val="Heading2"/>
      </w:pPr>
      <w:r>
        <w:t xml:space="preserve">DELIVERABLE 6 – Designation Pathways for Privileged Funding Access</w:t>
      </w:r>
    </w:p>
    <w:bookmarkStart w:id="37" w:name="a-government-of-burundi"/>
    <w:p>
      <w:pPr>
        <w:pStyle w:val="Heading3"/>
      </w:pPr>
      <w:r>
        <w:t xml:space="preserve">(a) Government of Burundi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Designation</w:t>
            </w:r>
          </w:p>
        </w:tc>
        <w:tc>
          <w:tcPr/>
          <w:p>
            <w:pPr>
              <w:pStyle w:val="Compact"/>
              <w:jc w:val="left"/>
            </w:pPr>
            <w:r>
              <w:t xml:space="preserve">What it requires</w:t>
            </w:r>
          </w:p>
        </w:tc>
        <w:tc>
          <w:tcPr/>
          <w:p>
            <w:pPr>
              <w:pStyle w:val="Compact"/>
              <w:jc w:val="left"/>
            </w:pPr>
            <w:r>
              <w:t xml:space="preserve">What it confers</w:t>
            </w:r>
          </w:p>
        </w:tc>
      </w:tr>
      <w:tr>
        <w:tc>
          <w:tcPr/>
          <w:p>
            <w:pPr>
              <w:pStyle w:val="Compact"/>
              <w:jc w:val="left"/>
            </w:pPr>
            <w:r>
              <w:t xml:space="preserve">Projet presidentiel (presidential project)</w:t>
            </w:r>
          </w:p>
        </w:tc>
        <w:tc>
          <w:tcPr/>
          <w:p>
            <w:pPr>
              <w:pStyle w:val="Compact"/>
              <w:jc w:val="left"/>
            </w:pPr>
            <w:r>
              <w:t xml:space="preserve">Endorsement by the Presidency; alignment to Vision 2040/2060; typically championed via the Strategic Bureau (BESD)</w:t>
            </w:r>
          </w:p>
        </w:tc>
        <w:tc>
          <w:tcPr/>
          <w:p>
            <w:pPr>
              <w:pStyle w:val="Compact"/>
              <w:jc w:val="left"/>
            </w:pPr>
            <w:r>
              <w:t xml:space="preserve">Political cover, fast-tracking, prestige; CEFORE-RUSI itself holds this status</w:t>
            </w:r>
          </w:p>
        </w:tc>
      </w:tr>
      <w:tr>
        <w:tc>
          <w:tcPr/>
          <w:p>
            <w:pPr>
              <w:pStyle w:val="Compact"/>
              <w:jc w:val="left"/>
            </w:pPr>
            <w:r>
              <w:t xml:space="preserve">Conseil des Ministres adoption / decret</w:t>
            </w:r>
          </w:p>
        </w:tc>
        <w:tc>
          <w:tcPr/>
          <w:p>
            <w:pPr>
              <w:pStyle w:val="Compact"/>
              <w:jc w:val="left"/>
            </w:pPr>
            <w:r>
              <w:t xml:space="preserve">Cabinet paper + decree</w:t>
            </w:r>
          </w:p>
        </w:tc>
        <w:tc>
          <w:tcPr/>
          <w:p>
            <w:pPr>
              <w:pStyle w:val="Compact"/>
              <w:jc w:val="left"/>
            </w:pPr>
            <w:r>
              <w:t xml:space="preserve">Legal/administrative standing; budget-line eligibility</w:t>
            </w:r>
          </w:p>
        </w:tc>
      </w:tr>
      <w:tr>
        <w:tc>
          <w:tcPr/>
          <w:p>
            <w:pPr>
              <w:pStyle w:val="Compact"/>
              <w:jc w:val="left"/>
            </w:pPr>
            <w:r>
              <w:t xml:space="preserve">Entente Directe (direct agreement)</w:t>
            </w:r>
          </w:p>
        </w:tc>
        <w:tc>
          <w:tcPr/>
          <w:p>
            <w:pPr>
              <w:pStyle w:val="Compact"/>
              <w:jc w:val="left"/>
            </w:pPr>
            <w:r>
              <w:t xml:space="preserve">Negotiated PPP/concession without open tender, with legal cover</w:t>
            </w:r>
          </w:p>
        </w:tc>
        <w:tc>
          <w:tcPr/>
          <w:p>
            <w:pPr>
              <w:pStyle w:val="Compact"/>
              <w:jc w:val="left"/>
            </w:pPr>
            <w:r>
              <w:t xml:space="preserve">Speed; used by Weza Power</w:t>
            </w:r>
          </w:p>
        </w:tc>
      </w:tr>
      <w:tr>
        <w:tc>
          <w:tcPr/>
          <w:p>
            <w:pPr>
              <w:pStyle w:val="Compact"/>
              <w:jc w:val="left"/>
            </w:pPr>
            <w:r>
              <w:t xml:space="preserve">National flagship program status</w:t>
            </w:r>
          </w:p>
        </w:tc>
        <w:tc>
          <w:tcPr/>
          <w:p>
            <w:pPr>
              <w:pStyle w:val="Compact"/>
              <w:jc w:val="left"/>
            </w:pPr>
            <w:r>
              <w:t xml:space="preserve">Inclusion in revised NDP / Vision monitoring</w:t>
            </w:r>
          </w:p>
        </w:tc>
        <w:tc>
          <w:tcPr/>
          <w:p>
            <w:pPr>
              <w:pStyle w:val="Compact"/>
              <w:jc w:val="left"/>
            </w:pPr>
            <w:r>
              <w:t xml:space="preserve">Priority in donor coordination</w:t>
            </w:r>
          </w:p>
        </w:tc>
      </w:tr>
    </w:tbl>
    <w:p>
      <w:pPr>
        <w:pStyle w:val="BodyText"/>
      </w:pPr>
      <w:r>
        <w:rPr>
          <w:bCs/>
          <w:b/>
        </w:rPr>
        <w:t xml:space="preserve">Weza Power precedent – replicability (assessment: HIGH):</w:t>
      </w:r>
      <w:r>
        <w:t xml:space="preserve"> </w:t>
      </w:r>
      <w:r>
        <w:t xml:space="preserve">Weza Power (Anzana Electric Group, formerly Virunga Power Holdings, Mauritius) followed a path of Entente Directe legal cover → Ministry of Justice legal opinion → named as a component in the World Bank ASCENT Burundi program (P181494), then attracted a MIGA breach-of-contract guarantee of US$10.9m (issued 19 Dec 2024, up to a 3-year tenor) to cover its Phase A investments – with the PPP aiming to bring energy to 70% of the population (~9 million people by 2030) and reach 45,000 rural households – plus IFC co-development and an AfDB SEFA US$600k grant, all under the Mission 300 compact. PURE Power Africa can replicate this exact sequence: secure Entente Directe → legal opinion → get named as a productive-use/agro-energy delivery component in ASCENT Burundi and the National Energy Compact → then stack MIGA/IFC/AfDB/TDB instruments. This is the single most important tactical recommendation in this report.</w:t>
      </w:r>
    </w:p>
    <w:bookmarkEnd w:id="37"/>
    <w:bookmarkStart w:id="38" w:name="X54220e2725ded7f132c20c987136b5efc4bda0b"/>
    <w:p>
      <w:pPr>
        <w:pStyle w:val="Heading3"/>
      </w:pPr>
      <w:r>
        <w:t xml:space="preserve">(b) African Union (chairmanship-year mechanisms)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How it works</w:t>
            </w:r>
          </w:p>
        </w:tc>
        <w:tc>
          <w:tcPr/>
          <w:p>
            <w:pPr>
              <w:pStyle w:val="Compact"/>
              <w:jc w:val="left"/>
            </w:pPr>
            <w:r>
              <w:t xml:space="preserve">2026 relevance</w:t>
            </w:r>
          </w:p>
        </w:tc>
      </w:tr>
      <w:tr>
        <w:tc>
          <w:tcPr/>
          <w:p>
            <w:pPr>
              <w:pStyle w:val="Compact"/>
              <w:jc w:val="left"/>
            </w:pPr>
            <w:r>
              <w:t xml:space="preserve">AU Assembly decisions/declarations</w:t>
            </w:r>
          </w:p>
        </w:tc>
        <w:tc>
          <w:tcPr/>
          <w:p>
            <w:pPr>
              <w:pStyle w:val="Compact"/>
              <w:jc w:val="left"/>
            </w:pPr>
            <w:r>
              <w:t xml:space="preserve">Heads of State can adopt declarations endorsing continental initiatives</w:t>
            </w:r>
          </w:p>
        </w:tc>
        <w:tc>
          <w:tcPr/>
          <w:p>
            <w:pPr>
              <w:pStyle w:val="Compact"/>
              <w:jc w:val="left"/>
            </w:pPr>
            <w:r>
              <w:t xml:space="preserve">Chairmanship year (Ndayishimiye) maximizes access to the Assembly agenda</w:t>
            </w:r>
          </w:p>
        </w:tc>
      </w:tr>
      <w:tr>
        <w:tc>
          <w:tcPr/>
          <w:p>
            <w:pPr>
              <w:pStyle w:val="Compact"/>
              <w:jc w:val="left"/>
            </w:pPr>
            <w:r>
              <w:t xml:space="preserve">Agenda 2063 flagship-adjacent recognition</w:t>
            </w:r>
          </w:p>
        </w:tc>
        <w:tc>
          <w:tcPr/>
          <w:p>
            <w:pPr>
              <w:pStyle w:val="Compact"/>
              <w:jc w:val="left"/>
            </w:pPr>
            <w:r>
              <w:t xml:space="preserve">Alignment to Agenda 2063 goals/flagship projects</w:t>
            </w:r>
          </w:p>
        </w:tc>
        <w:tc>
          <w:tcPr/>
          <w:p>
            <w:pPr>
              <w:pStyle w:val="Compact"/>
              <w:jc w:val="left"/>
            </w:pPr>
            <w:r>
              <w:t xml:space="preserve">Frame agro-energy hubs as Agenda 2063 (agriculture + energy + jobs)</w:t>
            </w:r>
          </w:p>
        </w:tc>
      </w:tr>
      <w:tr>
        <w:tc>
          <w:tcPr/>
          <w:p>
            <w:pPr>
              <w:pStyle w:val="Compact"/>
              <w:jc w:val="left"/>
            </w:pPr>
            <w:r>
              <w:t xml:space="preserve">AUDA-NEPAD endorsement/accreditation</w:t>
            </w:r>
          </w:p>
        </w:tc>
        <w:tc>
          <w:tcPr/>
          <w:p>
            <w:pPr>
              <w:pStyle w:val="Compact"/>
              <w:jc w:val="left"/>
            </w:pPr>
            <w:r>
              <w:t xml:space="preserve">Program endorsement by AU Development Agency</w:t>
            </w:r>
          </w:p>
        </w:tc>
        <w:tc>
          <w:tcPr/>
          <w:p>
            <w:pPr>
              <w:pStyle w:val="Compact"/>
              <w:jc w:val="left"/>
            </w:pPr>
            <w:r>
              <w:t xml:space="preserve">Implementation credibility + donor signal</w:t>
            </w:r>
          </w:p>
        </w:tc>
      </w:tr>
      <w:tr>
        <w:tc>
          <w:tcPr/>
          <w:p>
            <w:pPr>
              <w:pStyle w:val="Compact"/>
              <w:jc w:val="left"/>
            </w:pPr>
            <w:r>
              <w:t xml:space="preserve">AU Commission technical partnership</w:t>
            </w:r>
          </w:p>
        </w:tc>
        <w:tc>
          <w:tcPr/>
          <w:p>
            <w:pPr>
              <w:pStyle w:val="Compact"/>
              <w:jc w:val="left"/>
            </w:pPr>
            <w:r>
              <w:t xml:space="preserve">Like AAIN’s AU-DREABE partnership</w:t>
            </w:r>
          </w:p>
        </w:tc>
        <w:tc>
          <w:tcPr/>
          <w:p>
            <w:pPr>
              <w:pStyle w:val="Compact"/>
              <w:jc w:val="left"/>
            </w:pPr>
            <w:r>
              <w:t xml:space="preserve">PURE Power Africa can seek DREABE/energy-department technical-partner status via AAIN</w:t>
            </w:r>
          </w:p>
        </w:tc>
      </w:tr>
      <w:tr>
        <w:tc>
          <w:tcPr/>
          <w:p>
            <w:pPr>
              <w:pStyle w:val="Compact"/>
              <w:jc w:val="left"/>
            </w:pPr>
            <w:r>
              <w:t xml:space="preserve">2026 theme: water security &amp; sanitation</w:t>
            </w:r>
          </w:p>
        </w:tc>
        <w:tc>
          <w:tcPr/>
          <w:p>
            <w:pPr>
              <w:pStyle w:val="Compact"/>
              <w:jc w:val="left"/>
            </w:pPr>
            <w:r>
              <w:t xml:space="preserve">Thematic alignment</w:t>
            </w:r>
          </w:p>
        </w:tc>
        <w:tc>
          <w:tcPr/>
          <w:p>
            <w:pPr>
              <w:pStyle w:val="Compact"/>
              <w:jc w:val="left"/>
            </w:pPr>
            <w:r>
              <w:t xml:space="preserve">Foreground solar-powered irrigation/water pumping and clean water at hubs</w:t>
            </w:r>
          </w:p>
        </w:tc>
      </w:tr>
    </w:tbl>
    <w:p>
      <w:pPr>
        <w:pStyle w:val="BodyText"/>
      </w:pPr>
      <w:r>
        <w:t xml:space="preserve">Note: AU endorsement is largely reputational/convening, not direct funding – but during a chairmanship year it materially increases access to Assembly declarations and continental visibility.</w:t>
      </w:r>
    </w:p>
    <w:bookmarkEnd w:id="38"/>
    <w:bookmarkStart w:id="39" w:name="c-world-bank-mission-300"/>
    <w:p>
      <w:pPr>
        <w:pStyle w:val="Heading3"/>
      </w:pPr>
      <w:r>
        <w:t xml:space="preserve">(c) World Bank / Mission 300</w:t>
      </w:r>
    </w:p>
    <w:p>
      <w:pPr>
        <w:pStyle w:val="FirstParagraph"/>
      </w:pPr>
      <w:r>
        <w:t xml:space="preserve">Programs get financed by being named in a national energy compact and/or written into an IDA operation (as Weza Power was in ASCENT Burundi). There is no formal open</w:t>
      </w:r>
      <w:r>
        <w:t xml:space="preserve"> </w:t>
      </w:r>
      <w:r>
        <w:t xml:space="preserve">“</w:t>
      </w:r>
      <w:r>
        <w:t xml:space="preserve">Mission 300 delivery partner</w:t>
      </w:r>
      <w:r>
        <w:t xml:space="preserve">”</w:t>
      </w:r>
      <w:r>
        <w:t xml:space="preserve"> </w:t>
      </w:r>
      <w:r>
        <w:t xml:space="preserve">badge, but partners (Rockefeller/GEAPP, SEforALL, AfDB) and named private operators function as de facto delivery partners. Path: work with the Government + REGIDESO to insert PURE Power Africa’s productive-use agro-energy component into the compact’s implementation plan and the next ASCENT Burundi financing phase.</w:t>
      </w:r>
    </w:p>
    <w:bookmarkEnd w:id="39"/>
    <w:bookmarkStart w:id="40" w:name="d-strategic-bureau-of-the-presidency"/>
    <w:p>
      <w:pPr>
        <w:pStyle w:val="Heading3"/>
      </w:pPr>
      <w:r>
        <w:t xml:space="preserve">(d) Strategic Bureau of the Presidency</w:t>
      </w:r>
    </w:p>
    <w:p>
      <w:pPr>
        <w:numPr>
          <w:ilvl w:val="0"/>
          <w:numId w:val="1006"/>
        </w:numPr>
        <w:pStyle w:val="Compact"/>
      </w:pPr>
      <w:r>
        <w:t xml:space="preserve">Exact name: Bureau d’Etudes Strategiques et de Developpement (BESD) – the presidential strategy/development office. The Vision 2040-2060 monitoring-evaluation mechanism is placed under the Presidency via the BESD, in collaboration with the Primature. The Chef du BESD sits on high-level Burundian delegations (e.g., to the 2025 World Bank/IMF Annual Meetings alongside the BRB First Vice-Governor, OBR Commissioner General and the National Statistics Institute DG).</w:t>
      </w:r>
    </w:p>
    <w:p>
      <w:pPr>
        <w:numPr>
          <w:ilvl w:val="0"/>
          <w:numId w:val="1006"/>
        </w:numPr>
        <w:pStyle w:val="Compact"/>
      </w:pPr>
      <w:r>
        <w:t xml:space="preserve">How to position: present PURE Power Africa to the BESD as a Vision 2040/2060-aligned continental flagship that delivers on its highest-value metrics – jobs (agripreneur + hub employment, echoing PEAPJF’s 10,000-jobs target), FX inflows (donor capital + agri-export value chains), and prestige (hosting a continental HQ in Bujumbura alongside TDB’s principal HQ, during the AU chairmanship). Route the proposal through the BESD to secure projet presidentiel designation, then Conseil des Ministres adoption, then Entente Directe + compact naming.</w:t>
      </w:r>
    </w:p>
    <w:p>
      <w:pPr>
        <w:pStyle w:val="FirstParagraph"/>
      </w:pPr>
      <w:r>
        <w:rPr>
          <w:bCs/>
          <w:b/>
        </w:rPr>
        <w:t xml:space="preserve">Recommended designation stack (in order):</w:t>
      </w:r>
      <w:r>
        <w:t xml:space="preserve"> </w:t>
      </w:r>
      <w:r>
        <w:t xml:space="preserve">1. BESD engagement → projet presidentiel designation.</w:t>
      </w:r>
      <w:r>
        <w:t xml:space="preserve"> </w:t>
      </w:r>
      <w:r>
        <w:t xml:space="preserve">2. Collaboration agreement with CEFORE-RUSI (HQ + first hub + train-the-trainer).</w:t>
      </w:r>
      <w:r>
        <w:t xml:space="preserve"> </w:t>
      </w:r>
      <w:r>
        <w:t xml:space="preserve">3. Entente Directe legal cover → Ministry of Justice legal opinion (Weza template).</w:t>
      </w:r>
      <w:r>
        <w:t xml:space="preserve"> </w:t>
      </w:r>
      <w:r>
        <w:t xml:space="preserve">4. Named component in Burundi National Energy Compact + next ASCENT Burundi phase.</w:t>
      </w:r>
      <w:r>
        <w:t xml:space="preserve"> </w:t>
      </w:r>
      <w:r>
        <w:t xml:space="preserve">5. AU: AUDA-NEPAD endorsement + AU-DREABE technical partnership via AAIN; seek an Assembly declaration mention during 2026 chairmanship.</w:t>
      </w:r>
      <w:r>
        <w:t xml:space="preserve"> </w:t>
      </w:r>
      <w:r>
        <w:t xml:space="preserve">6. Stack finance: TDB (TDF/project/ESATF) + SEFA + GEAPP/PUFF + MIGA/IFC + Rockefeller catalytic.</w:t>
      </w:r>
    </w:p>
    <w:p>
      <w:pPr>
        <w:pStyle w:val="BodyText"/>
      </w:pPr>
      <w:r>
        <w:t xml:space="preserve">Confidence &amp; data gaps (D6): HIGH on BESD name/role, Weza precedent sequence, compact/IDA naming mechanics, AU mechanism types. MEDIUM on the current head of BESD (role confirmed on delegations, individual not identified) and on whether AUDA-NEPAD accreditation has a formal application track currently open. AU endorsement’s funding value is indirect and should not be overstated.</w:t>
      </w:r>
    </w:p>
    <w:p>
      <w:r>
        <w:pict>
          <v:rect style="width:0;height:1.5pt" o:hralign="center" o:hrstd="t" o:hr="t"/>
        </w:pict>
      </w:r>
    </w:p>
    <w:bookmarkEnd w:id="40"/>
    <w:bookmarkEnd w:id="41"/>
    <w:bookmarkStart w:id="42" w:name="recommendations-cross-cutting-staged"/>
    <w:p>
      <w:pPr>
        <w:pStyle w:val="Heading2"/>
      </w:pPr>
      <w:r>
        <w:t xml:space="preserve">Recommendations (cross-cutting, staged)</w:t>
      </w:r>
    </w:p>
    <w:p>
      <w:pPr>
        <w:pStyle w:val="FirstParagraph"/>
      </w:pPr>
      <w:r>
        <w:rPr>
          <w:bCs/>
          <w:b/>
        </w:rPr>
        <w:t xml:space="preserve">Stage 0 – Now (next 60–90 days):</w:t>
      </w:r>
      <w:r>
        <w:t xml:space="preserve"> </w:t>
      </w:r>
      <w:r>
        <w:t xml:space="preserve">1. Sign the CEFORE-RUSI collaboration agreement (HQ + first Burundi hub + train-the-trainer). Fastest concrete win; gives the program a presidential-project physical anchor.</w:t>
      </w:r>
      <w:r>
        <w:t xml:space="preserve"> </w:t>
      </w:r>
      <w:r>
        <w:t xml:space="preserve">2. Open BESD engagement to seek projet presidentiel designation, leveraging the AU chairmanship window (2026) and the water-security theme.</w:t>
      </w:r>
      <w:r>
        <w:t xml:space="preserve"> </w:t>
      </w:r>
      <w:r>
        <w:t xml:space="preserve">3. Open a parallel dialogue with TDB (Bujumbura HQ) on TDF concessional/catalytic support and TDB Academy co-branding.</w:t>
      </w:r>
      <w:r>
        <w:t xml:space="preserve"> </w:t>
      </w:r>
      <w:r>
        <w:t xml:space="preserve">- Benchmark to advance: signed CEFORE MoU + a BESD letter of support.</w:t>
      </w:r>
    </w:p>
    <w:p>
      <w:pPr>
        <w:pStyle w:val="BodyText"/>
      </w:pPr>
      <w:r>
        <w:rPr>
          <w:bCs/>
          <w:b/>
        </w:rPr>
        <w:t xml:space="preserve">Stage 1 – Months 3–9:</w:t>
      </w:r>
      <w:r>
        <w:t xml:space="preserve"> </w:t>
      </w:r>
      <w:r>
        <w:t xml:space="preserve">4. Execute the Weza replication: Entente Directe → Ministry of Justice legal opinion → request to be named a productive-use/agro-energy component in the Burundi National Energy Compact and the next ASCENT Burundi financing phase.</w:t>
      </w:r>
      <w:r>
        <w:t xml:space="preserve"> </w:t>
      </w:r>
      <w:r>
        <w:t xml:space="preserve">5. Submit a SEFA project-preparation grant request (AfDB-championed) and approach GEAPP’s PUFF for productive-use appliances.</w:t>
      </w:r>
      <w:r>
        <w:t xml:space="preserve"> </w:t>
      </w:r>
      <w:r>
        <w:t xml:space="preserve">- Benchmark to advance: legal opinion issued AND written inclusion in an IDA/compact document.</w:t>
      </w:r>
    </w:p>
    <w:p>
      <w:pPr>
        <w:pStyle w:val="BodyText"/>
      </w:pPr>
      <w:r>
        <w:rPr>
          <w:bCs/>
          <w:b/>
        </w:rPr>
        <w:t xml:space="preserve">Stage 2 – Months 9–18 (pilot funding + Wave 1 build):</w:t>
      </w:r>
      <w:r>
        <w:t xml:space="preserve"> </w:t>
      </w:r>
      <w:r>
        <w:t xml:space="preserve">6. Close blended finance (TDB project finance + TDF/SEFA grants + MIGA/IFC de-risking + Rockefeller/GEAPP catalytic) for the Burundi flagship hub and 3–4 cross-border satellites (DRC/Rwanda/Tanzania).</w:t>
      </w:r>
      <w:r>
        <w:t xml:space="preserve"> </w:t>
      </w:r>
      <w:r>
        <w:t xml:space="preserve">7. Sign country MoUs with lead research institutes (INERA-DRC, RAB, TARI) that explicitly second existing staff (no mass hiring).</w:t>
      </w:r>
      <w:r>
        <w:t xml:space="preserve"> </w:t>
      </w:r>
      <w:r>
        <w:t xml:space="preserve">- Benchmark to advance to Wave 2: flagship hub operational + at least one satellite live + a repeatable per-hub unit-economics model.</w:t>
      </w:r>
    </w:p>
    <w:p>
      <w:pPr>
        <w:pStyle w:val="BodyText"/>
      </w:pPr>
      <w:r>
        <w:rPr>
          <w:bCs/>
          <w:b/>
        </w:rPr>
        <w:t xml:space="preserve">Triggers that would change the plan:</w:t>
      </w:r>
      <w:r>
        <w:t xml:space="preserve"> </w:t>
      </w:r>
      <w:r>
        <w:t xml:space="preserve">if the Burundi compact/ASCENT naming stalls, pivot the first cross-border hub to Rwanda (RAB) or Kenya (KALRO), where footprint and access data are strongest; if security deteriorates in eastern DRC, defer Cluster 1B DRC to Wave 3.</w:t>
      </w:r>
    </w:p>
    <w:bookmarkEnd w:id="42"/>
    <w:bookmarkStart w:id="43" w:name="caveats"/>
    <w:p>
      <w:pPr>
        <w:pStyle w:val="Heading2"/>
      </w:pPr>
      <w:r>
        <w:t xml:space="preserve">Caveats</w:t>
      </w:r>
    </w:p>
    <w:p>
      <w:pPr>
        <w:numPr>
          <w:ilvl w:val="0"/>
          <w:numId w:val="1007"/>
        </w:numPr>
        <w:pStyle w:val="Compact"/>
      </w:pPr>
      <w:r>
        <w:t xml:space="preserve">Several electrification percentages are 2021–2023 vintage; use as directional, not precise.</w:t>
      </w:r>
    </w:p>
    <w:p>
      <w:pPr>
        <w:numPr>
          <w:ilvl w:val="0"/>
          <w:numId w:val="1007"/>
        </w:numPr>
        <w:pStyle w:val="Compact"/>
      </w:pPr>
      <w:r>
        <w:t xml:space="preserve">Partner institutions have rural reach but no energy-asset ownership history – every hub needs buildout capital and an operating model that respects each host’s core mandate.</w:t>
      </w:r>
    </w:p>
    <w:p>
      <w:pPr>
        <w:numPr>
          <w:ilvl w:val="0"/>
          <w:numId w:val="1007"/>
        </w:numPr>
        <w:pStyle w:val="Compact"/>
      </w:pPr>
      <w:r>
        <w:t xml:space="preserve">“</w:t>
      </w:r>
      <w:r>
        <w:t xml:space="preserve">TCF</w:t>
      </w:r>
      <w:r>
        <w:t xml:space="preserve">”</w:t>
      </w:r>
      <w:r>
        <w:t xml:space="preserve"> </w:t>
      </w:r>
      <w:r>
        <w:t xml:space="preserve">is not a verified TDB acronym; confirm with TDB.</w:t>
      </w:r>
    </w:p>
    <w:p>
      <w:pPr>
        <w:numPr>
          <w:ilvl w:val="0"/>
          <w:numId w:val="1007"/>
        </w:numPr>
        <w:pStyle w:val="Compact"/>
      </w:pPr>
      <w:r>
        <w:t xml:space="preserve">AU endorsement is reputational/convening, not a funding instrument – do not overstate to stakeholders.</w:t>
      </w:r>
    </w:p>
    <w:p>
      <w:pPr>
        <w:numPr>
          <w:ilvl w:val="0"/>
          <w:numId w:val="1007"/>
        </w:numPr>
        <w:pStyle w:val="Compact"/>
      </w:pPr>
      <w:r>
        <w:t xml:space="preserve">Mastercard Foundation’s formal standalone presence in Burundi is unconfirmed (only a regional program listing Burundi is verified).</w:t>
      </w:r>
    </w:p>
    <w:p>
      <w:pPr>
        <w:numPr>
          <w:ilvl w:val="0"/>
          <w:numId w:val="1007"/>
        </w:numPr>
        <w:pStyle w:val="Compact"/>
      </w:pPr>
      <w:r>
        <w:t xml:space="preserve">Cooperative-union and national Red Cross network mapping remains</w:t>
      </w:r>
      <w:r>
        <w:t xml:space="preserve"> </w:t>
      </w:r>
      <w:r>
        <w:t xml:space="preserve">“</w:t>
      </w:r>
      <w:r>
        <w:t xml:space="preserve">to be identified with AAIN</w:t>
      </w:r>
      <w:r>
        <w:t xml:space="preserve">”</w:t>
      </w:r>
      <w:r>
        <w:t xml:space="preserve"> </w:t>
      </w:r>
      <w:r>
        <w:t xml:space="preserve">for most countries and should be the first joint work-stream with AAIN.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2026-08-07T02:26:48Z</dcterms:created>
  <dcterms:modified xsi:type="dcterms:W3CDTF">2026-08-07T02:26:48Z</dcterms:modified>
</cp:coreProperties>
</file>

<file path=docProps/custom.xml><?xml version="1.0" encoding="utf-8"?>
<Properties xmlns="http://schemas.openxmlformats.org/officeDocument/2006/custom-properties" xmlns:vt="http://schemas.openxmlformats.org/officeDocument/2006/docPropsVTypes"/>
</file>