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9f5060ca8faa939e10e0edc0ac3f32070e22ba"/>
    <w:p>
      <w:pPr>
        <w:pStyle w:val="Heading1"/>
      </w:pPr>
      <w:r>
        <w:t xml:space="preserve">PURE Power Africa – Partner-Targeting Analysis</w:t>
      </w:r>
    </w:p>
    <w:bookmarkStart w:id="20" w:name="Xb81bee18aed8bef84bc2e7c7af71f7c25bec921"/>
    <w:p>
      <w:pPr>
        <w:pStyle w:val="Heading3"/>
      </w:pPr>
      <w:r>
        <w:t xml:space="preserve">AAIN Member/Affiliate Targets &amp; Pan-African Pillar-Institution Landscape</w:t>
      </w:r>
    </w:p>
    <w:p>
      <w:pPr>
        <w:pStyle w:val="FirstParagraph"/>
      </w:pPr>
      <w:r>
        <w:rPr>
          <w:iCs/>
          <w:i/>
        </w:rPr>
        <w:t xml:space="preserve">Prepared for Michael Fichtenberg | Internal analysis, suitable for onward sharing with AAIN | 7 August 2026</w:t>
      </w:r>
    </w:p>
    <w:bookmarkEnd w:id="20"/>
    <w:bookmarkStart w:id="21" w:name="tldr"/>
    <w:p>
      <w:pPr>
        <w:pStyle w:val="Heading2"/>
      </w:pPr>
      <w:r>
        <w:t xml:space="preserve">TL;DR</w:t>
      </w:r>
    </w:p>
    <w:p>
      <w:pPr>
        <w:numPr>
          <w:ilvl w:val="0"/>
          <w:numId w:val="1001"/>
        </w:numPr>
        <w:pStyle w:val="Compact"/>
      </w:pPr>
      <w:r>
        <w:rPr>
          <w:bCs/>
          <w:b/>
        </w:rPr>
        <w:t xml:space="preserve">AAIN is a credible continental anchor but a thin operational one:</w:t>
      </w:r>
      <w:r>
        <w:t xml:space="preserve"> </w:t>
      </w:r>
      <w:r>
        <w:t xml:space="preserve">it is African-led, registered in Accra, a technical partner of the African Union Commission’s Department for Rural Economy, Agriculture and Blue Economy, with regional/contact offices in eight countries and 110+ members – but its own physical field footprint is modest, so PURE Power Africa’s real deployment leverage comes from a handful of large member incubators (Songhai in Benin, IITA-BIP in Nigeria, KCIC in Kenya, and the Burundi host incubators) that own multi-site infrastructure, personnel and government ties.</w:t>
      </w:r>
    </w:p>
    <w:p>
      <w:pPr>
        <w:numPr>
          <w:ilvl w:val="0"/>
          <w:numId w:val="1001"/>
        </w:numPr>
        <w:pStyle w:val="Compact"/>
      </w:pPr>
      <w:r>
        <w:rPr>
          <w:bCs/>
          <w:b/>
        </w:rPr>
        <w:t xml:space="preserve">The strongest national lead-partner candidates are those that already run multiple physical centers with staff and farmer reach</w:t>
      </w:r>
      <w:r>
        <w:t xml:space="preserve"> </w:t>
      </w:r>
      <w:r>
        <w:t xml:space="preserve">– Songhai Centre (multi-country, 550+ ha, ~1,500 staff), IITA Business Incubation Platform (28-country research-station backbone), and Kenya Climate Innovation Center (eight-county hub network) – while Burundi’s CEFORE-RUSI/YAIN/BBIN cluster is strategically decisive because the continental HQ and AAICE 2026 are in Bujumbura.</w:t>
      </w:r>
    </w:p>
    <w:p>
      <w:pPr>
        <w:numPr>
          <w:ilvl w:val="0"/>
          <w:numId w:val="1001"/>
        </w:numPr>
        <w:pStyle w:val="Compact"/>
      </w:pPr>
      <w:r>
        <w:rPr>
          <w:bCs/>
          <w:b/>
        </w:rPr>
        <w:t xml:space="preserve">For pillar partners, NGOs/multilaterals should anchor each vertical</w:t>
      </w:r>
      <w:r>
        <w:t xml:space="preserve"> </w:t>
      </w:r>
      <w:r>
        <w:t xml:space="preserve">– FAO/AGRA/FARA (agriculture), WFP (logistics), IFRC national societies/Amref (health), RUFORUM + the AU Pan-African e-Network (education), and Ecobank (finance, the one clearly justified private-sector inclusion given its unmatched 35-country branch network) – with private, DFI-subsidized players (SunCulture, Baobab, Advans) included only where their concessional funding is explicit.</w:t>
      </w:r>
    </w:p>
    <w:p>
      <w:r>
        <w:pict>
          <v:rect style="width:0;height:1.5pt" o:hralign="center" o:hrstd="t" o:hr="t"/>
        </w:pict>
      </w:r>
    </w:p>
    <w:bookmarkEnd w:id="21"/>
    <w:bookmarkStart w:id="25" w:name="X548c8a2c9d8359d8052588f8937c45c814eef21"/>
    <w:p>
      <w:pPr>
        <w:pStyle w:val="Heading2"/>
      </w:pPr>
      <w:r>
        <w:t xml:space="preserve">Deliverable 1 – Ranked AAIN Member/Affiliate Target List</w:t>
      </w:r>
    </w:p>
    <w:bookmarkStart w:id="22" w:name="X9734bcbe8ea5077700a3adc20d21b49bb5d0dc9"/>
    <w:p>
      <w:pPr>
        <w:pStyle w:val="Heading3"/>
      </w:pPr>
      <w:r>
        <w:t xml:space="preserve">AAIN’s own institutional capacity and entry points</w:t>
      </w:r>
    </w:p>
    <w:p>
      <w:pPr>
        <w:pStyle w:val="FirstParagraph"/>
      </w:pPr>
      <w:r>
        <w:t xml:space="preserve">AAIN (African Agribusiness Incubators Network) was formed in November 2014 and registered in 2015 in Accra, Ghana, as a private-sector entity/business development company. It reports 110+ registered members across a network spanning 54 countries, ~158 university affiliations, 30 private-sector forums, and partnerships with FAO, AfDB, FARA, AGRA, IITA, CTA and PAFO. It is a technical partner of the African Union Commission (AU DREABE) for incubation and acceleration. Its declared technical infrastructure: 15 in-house incubation experts, 50+ associate consultants, 510–1,600 mentors (figures vary across AAIN’s own pages) and 100+ field-based experts based at</w:t>
      </w:r>
      <w:r>
        <w:t xml:space="preserve"> </w:t>
      </w:r>
      <w:r>
        <w:t xml:space="preserve">“</w:t>
      </w:r>
      <w:r>
        <w:t xml:space="preserve">anchor incubators.</w:t>
      </w:r>
      <w:r>
        <w:t xml:space="preserve">”</w:t>
      </w:r>
      <w:r>
        <w:t xml:space="preserve"> </w:t>
      </w:r>
      <w:r>
        <w:t xml:space="preserve">Regional/contact offices are listed in Kenya, Rwanda, Mali, Uganda, South Africa, Senegal, Zambia and Benin (with the Ghana HQ), with focal points also cited in Malawi.</w:t>
      </w:r>
    </w:p>
    <w:p>
      <w:pPr>
        <w:pStyle w:val="BodyText"/>
      </w:pPr>
      <w:r>
        <w:rPr>
          <w:bCs/>
          <w:b/>
        </w:rPr>
        <w:t xml:space="preserve">Entry points:</w:t>
      </w:r>
      <w:r>
        <w:t xml:space="preserve"> </w:t>
      </w:r>
      <w:r>
        <w:t xml:space="preserve">(1) the AAIN Ghana secretariat (Accra); (2) AAIN Uganda (aain.africa), which appears to be the most active operating chapter and is running AAICE 2026; (3) the AAICE 2026 conference itself (Bujumbura, Burundi, 3–8 August 2026), co-organised with the Government of Burundi, the AU Commission, AGRA and AfDB – a direct channel to members, governments and the three Burundi host incubators. Confidence that AAIN can convene partners is HIGH; confidence that AAIN itself owns deployable last-mile infrastructure is LOW – its value is convening, accreditation and government access, not bricks-and-mortar.</w:t>
      </w:r>
    </w:p>
    <w:bookmarkEnd w:id="22"/>
    <w:bookmarkStart w:id="23" w:name="ranked-target-table"/>
    <w:p>
      <w:pPr>
        <w:pStyle w:val="Heading3"/>
      </w:pPr>
      <w:r>
        <w:t xml:space="preserve">Ranked target table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 / Tier</w:t>
            </w:r>
          </w:p>
        </w:tc>
        <w:tc>
          <w:tcPr/>
          <w:p>
            <w:pPr>
              <w:pStyle w:val="Compact"/>
              <w:jc w:val="left"/>
            </w:pPr>
            <w:r>
              <w:t xml:space="preserve">Organization</w:t>
            </w:r>
          </w:p>
        </w:tc>
        <w:tc>
          <w:tcPr/>
          <w:p>
            <w:pPr>
              <w:pStyle w:val="Compact"/>
              <w:jc w:val="left"/>
            </w:pPr>
            <w:r>
              <w:t xml:space="preserve">Country</w:t>
            </w:r>
          </w:p>
        </w:tc>
        <w:tc>
          <w:tcPr/>
          <w:p>
            <w:pPr>
              <w:pStyle w:val="Compact"/>
              <w:jc w:val="left"/>
            </w:pPr>
            <w:r>
              <w:t xml:space="preserve">Physical footprint evidence</w:t>
            </w:r>
          </w:p>
        </w:tc>
        <w:tc>
          <w:tcPr/>
          <w:p>
            <w:pPr>
              <w:pStyle w:val="Compact"/>
              <w:jc w:val="left"/>
            </w:pPr>
            <w:r>
              <w:t xml:space="preserve">Capacity notes</w:t>
            </w:r>
          </w:p>
        </w:tc>
        <w:tc>
          <w:tcPr/>
          <w:p>
            <w:pPr>
              <w:pStyle w:val="Compact"/>
              <w:jc w:val="left"/>
            </w:pPr>
            <w:r>
              <w:t xml:space="preserve">Agricultural focus</w:t>
            </w:r>
          </w:p>
        </w:tc>
        <w:tc>
          <w:tcPr/>
          <w:p>
            <w:pPr>
              <w:pStyle w:val="Compact"/>
              <w:jc w:val="left"/>
            </w:pPr>
            <w:r>
              <w:t xml:space="preserve">One-line rationale</w:t>
            </w:r>
          </w:p>
        </w:tc>
      </w:tr>
      <w:tr>
        <w:tc>
          <w:tcPr/>
          <w:p>
            <w:pPr>
              <w:pStyle w:val="Compact"/>
              <w:jc w:val="left"/>
            </w:pPr>
            <w:r>
              <w:t xml:space="preserve">1 – Tier 1</w:t>
            </w:r>
          </w:p>
        </w:tc>
        <w:tc>
          <w:tcPr/>
          <w:p>
            <w:pPr>
              <w:pStyle w:val="Compact"/>
              <w:jc w:val="left"/>
            </w:pPr>
            <w:r>
              <w:t xml:space="preserve">Songhai Centre</w:t>
            </w:r>
          </w:p>
        </w:tc>
        <w:tc>
          <w:tcPr/>
          <w:p>
            <w:pPr>
              <w:pStyle w:val="Compact"/>
              <w:jc w:val="left"/>
            </w:pPr>
            <w:r>
              <w:t xml:space="preserve">Benin (+ Nigeria, Liberia, Sierra Leone, Congo-Brazzaville)</w:t>
            </w:r>
          </w:p>
        </w:tc>
        <w:tc>
          <w:tcPr/>
          <w:p>
            <w:pPr>
              <w:pStyle w:val="Compact"/>
              <w:jc w:val="left"/>
            </w:pPr>
            <w:r>
              <w:t xml:space="preserve">Per ILO case study: over 550 hectares of land plus 46 hectares of water, a network of 250 farms and 20,000 visitors/year; 6 centres in Benin, 11 in Nigeria, 1 each in Congo-Brazzaville, Liberia and Sierra Leone. Porto-Novo HQ works on 21 hectares with over 200 employees</w:t>
            </w:r>
          </w:p>
        </w:tc>
        <w:tc>
          <w:tcPr/>
          <w:p>
            <w:pPr>
              <w:pStyle w:val="Compact"/>
              <w:jc w:val="left"/>
            </w:pPr>
            <w:r>
              <w:t xml:space="preserve">~1,500 employees; ~500 trainees/interns at any time; training, production, research; radio comms link centres</w:t>
            </w:r>
          </w:p>
        </w:tc>
        <w:tc>
          <w:tcPr/>
          <w:p>
            <w:pPr>
              <w:pStyle w:val="Compact"/>
              <w:jc w:val="left"/>
            </w:pPr>
            <w:r>
              <w:t xml:space="preserve">Integrated agro-ecology: crops, livestock, aquaculture, agro-processing, training</w:t>
            </w:r>
          </w:p>
        </w:tc>
        <w:tc>
          <w:tcPr/>
          <w:p>
            <w:pPr>
              <w:pStyle w:val="Compact"/>
              <w:jc w:val="left"/>
            </w:pPr>
            <w:r>
              <w:t xml:space="preserve">Largest multi-site physical + personnel footprint of any candidate; a turnkey</w:t>
            </w:r>
            <w:r>
              <w:t xml:space="preserve"> </w:t>
            </w:r>
            <w:r>
              <w:t xml:space="preserve">“</w:t>
            </w:r>
            <w:r>
              <w:t xml:space="preserve">wheel</w:t>
            </w:r>
            <w:r>
              <w:t xml:space="preserve">”</w:t>
            </w:r>
            <w:r>
              <w:t xml:space="preserve"> </w:t>
            </w:r>
            <w:r>
              <w:t xml:space="preserve">backbone across several countries</w:t>
            </w:r>
          </w:p>
        </w:tc>
      </w:tr>
      <w:tr>
        <w:tc>
          <w:tcPr/>
          <w:p>
            <w:pPr>
              <w:pStyle w:val="Compact"/>
              <w:jc w:val="left"/>
            </w:pPr>
            <w:r>
              <w:t xml:space="preserve">2 – Tier 1</w:t>
            </w:r>
          </w:p>
        </w:tc>
        <w:tc>
          <w:tcPr/>
          <w:p>
            <w:pPr>
              <w:pStyle w:val="Compact"/>
              <w:jc w:val="left"/>
            </w:pPr>
            <w:r>
              <w:t xml:space="preserve">IITA Business Incubation Platform (IITA-BIP)</w:t>
            </w:r>
          </w:p>
        </w:tc>
        <w:tc>
          <w:tcPr/>
          <w:p>
            <w:pPr>
              <w:pStyle w:val="Compact"/>
              <w:jc w:val="left"/>
            </w:pPr>
            <w:r>
              <w:t xml:space="preserve">Nigeria HQ (Ibadan); stations in 28 African countries</w:t>
            </w:r>
          </w:p>
        </w:tc>
        <w:tc>
          <w:tcPr/>
          <w:p>
            <w:pPr>
              <w:pStyle w:val="Compact"/>
              <w:jc w:val="left"/>
            </w:pPr>
            <w:r>
              <w:t xml:space="preserve">Research/administrative hubs and stations in 28 countries (Kinshasa hub for Central Africa incl. Bukavu; Dar es Salaam hub for East Africa; West Africa stations in Benin, Cote d’Ivoire, Ghana, etc.)</w:t>
            </w:r>
          </w:p>
        </w:tc>
        <w:tc>
          <w:tcPr/>
          <w:p>
            <w:pPr>
              <w:pStyle w:val="Compact"/>
              <w:jc w:val="left"/>
            </w:pPr>
            <w:r>
              <w:t xml:space="preserve">Technology-delivery arm of IITA; ENABLE Youth reached 25,616 youth, 1,661 farms, 2,592 start-ups; AfDB/IFAD/Mastercard-funded</w:t>
            </w:r>
          </w:p>
        </w:tc>
        <w:tc>
          <w:tcPr/>
          <w:p>
            <w:pPr>
              <w:pStyle w:val="Compact"/>
              <w:jc w:val="left"/>
            </w:pPr>
            <w:r>
              <w:t xml:space="preserve">Seed systems, agro-processing, black soldier fly, youth agripreneurs</w:t>
            </w:r>
          </w:p>
        </w:tc>
        <w:tc>
          <w:tcPr/>
          <w:p>
            <w:pPr>
              <w:pStyle w:val="Compact"/>
              <w:jc w:val="left"/>
            </w:pPr>
            <w:r>
              <w:t xml:space="preserve">Continental research-station backbone with admin capacity and deep donor funding – ideal Central Africa/DRC entry via the Kinshasa hub</w:t>
            </w:r>
          </w:p>
        </w:tc>
      </w:tr>
      <w:tr>
        <w:tc>
          <w:tcPr/>
          <w:p>
            <w:pPr>
              <w:pStyle w:val="Compact"/>
              <w:jc w:val="left"/>
            </w:pPr>
            <w:r>
              <w:t xml:space="preserve">3 – Tier 1</w:t>
            </w:r>
          </w:p>
        </w:tc>
        <w:tc>
          <w:tcPr/>
          <w:p>
            <w:pPr>
              <w:pStyle w:val="Compact"/>
              <w:jc w:val="left"/>
            </w:pPr>
            <w:r>
              <w:t xml:space="preserve">Kenya Climate Innovation Center (KCIC)</w:t>
            </w:r>
          </w:p>
        </w:tc>
        <w:tc>
          <w:tcPr/>
          <w:p>
            <w:pPr>
              <w:pStyle w:val="Compact"/>
              <w:jc w:val="left"/>
            </w:pPr>
            <w:r>
              <w:t xml:space="preserve">Kenya</w:t>
            </w:r>
          </w:p>
        </w:tc>
        <w:tc>
          <w:tcPr/>
          <w:p>
            <w:pPr>
              <w:pStyle w:val="Compact"/>
              <w:jc w:val="left"/>
            </w:pPr>
            <w:r>
              <w:t xml:space="preserve">Business incubation hubs in eight counties (Uasin Gishu, Meru, Kisii, Nyeri, Bungoma, Isiolo, Kilifi, Lamu); Nairobi HQ</w:t>
            </w:r>
          </w:p>
        </w:tc>
        <w:tc>
          <w:tcPr/>
          <w:p>
            <w:pPr>
              <w:pStyle w:val="Compact"/>
              <w:jc w:val="left"/>
            </w:pPr>
            <w:r>
              <w:t xml:space="preserve">KCIC Group = KCIC + KCIC Consulting + Kenya Climate Ventures; EU/Danida-funded (AgriBiz, GreenBiz targeting 300 businesses / 3,000 jobs)</w:t>
            </w:r>
          </w:p>
        </w:tc>
        <w:tc>
          <w:tcPr/>
          <w:p>
            <w:pPr>
              <w:pStyle w:val="Compact"/>
              <w:jc w:val="left"/>
            </w:pPr>
            <w:r>
              <w:t xml:space="preserve">Agribusiness, renewable energy, water, waste, forestry – energy+agri overlap</w:t>
            </w:r>
          </w:p>
        </w:tc>
        <w:tc>
          <w:tcPr/>
          <w:p>
            <w:pPr>
              <w:pStyle w:val="Compact"/>
              <w:jc w:val="left"/>
            </w:pPr>
            <w:r>
              <w:t xml:space="preserve">Multi-county footprint + energy focus + financing arm; near-perfect thematic fit for an agro-energy hub in Kenya</w:t>
            </w:r>
          </w:p>
        </w:tc>
      </w:tr>
      <w:tr>
        <w:tc>
          <w:tcPr/>
          <w:p>
            <w:pPr>
              <w:pStyle w:val="Compact"/>
              <w:jc w:val="left"/>
            </w:pPr>
            <w:r>
              <w:t xml:space="preserve">4 – Tier 1 (strategic)</w:t>
            </w:r>
          </w:p>
        </w:tc>
        <w:tc>
          <w:tcPr/>
          <w:p>
            <w:pPr>
              <w:pStyle w:val="Compact"/>
              <w:jc w:val="left"/>
            </w:pPr>
            <w:r>
              <w:t xml:space="preserve">CEFORE-RUSI</w:t>
            </w:r>
          </w:p>
        </w:tc>
        <w:tc>
          <w:tcPr/>
          <w:p>
            <w:pPr>
              <w:pStyle w:val="Compact"/>
              <w:jc w:val="left"/>
            </w:pPr>
            <w:r>
              <w:t xml:space="preserve">Burundi</w:t>
            </w:r>
          </w:p>
        </w:tc>
        <w:tc>
          <w:tcPr/>
          <w:p>
            <w:pPr>
              <w:pStyle w:val="Compact"/>
              <w:jc w:val="left"/>
            </w:pPr>
            <w:r>
              <w:t xml:space="preserve">142-hectare site at Karuzi; AfDB donated $3M of equipment (2025); food/dairy processing halls</w:t>
            </w:r>
          </w:p>
        </w:tc>
        <w:tc>
          <w:tcPr/>
          <w:p>
            <w:pPr>
              <w:pStyle w:val="Compact"/>
              <w:jc w:val="left"/>
            </w:pPr>
            <w:r>
              <w:t xml:space="preserve">State-linked polytechnic/incubation center; PEAPJF (AfDB) project; presidential backing</w:t>
            </w:r>
          </w:p>
        </w:tc>
        <w:tc>
          <w:tcPr/>
          <w:p>
            <w:pPr>
              <w:pStyle w:val="Compact"/>
              <w:jc w:val="left"/>
            </w:pPr>
            <w:r>
              <w:t xml:space="preserve">Agropastoral, technical and entrepreneurial training, incubation</w:t>
            </w:r>
          </w:p>
        </w:tc>
        <w:tc>
          <w:tcPr/>
          <w:p>
            <w:pPr>
              <w:pStyle w:val="Compact"/>
              <w:jc w:val="left"/>
            </w:pPr>
            <w:r>
              <w:t xml:space="preserve">Anchors the continental-HQ country; large single-site campus with government + AfDB backing</w:t>
            </w:r>
          </w:p>
        </w:tc>
      </w:tr>
      <w:tr>
        <w:tc>
          <w:tcPr/>
          <w:p>
            <w:pPr>
              <w:pStyle w:val="Compact"/>
              <w:jc w:val="left"/>
            </w:pPr>
            <w:r>
              <w:t xml:space="preserve">5 – Tier 2</w:t>
            </w:r>
          </w:p>
        </w:tc>
        <w:tc>
          <w:tcPr/>
          <w:p>
            <w:pPr>
              <w:pStyle w:val="Compact"/>
              <w:jc w:val="left"/>
            </w:pPr>
            <w:r>
              <w:t xml:space="preserve">Youth Agribusiness Incubator (YAIN)</w:t>
            </w:r>
          </w:p>
        </w:tc>
        <w:tc>
          <w:tcPr/>
          <w:p>
            <w:pPr>
              <w:pStyle w:val="Compact"/>
              <w:jc w:val="left"/>
            </w:pPr>
            <w:r>
              <w:t xml:space="preserve">Burundi</w:t>
            </w:r>
          </w:p>
        </w:tc>
        <w:tc>
          <w:tcPr/>
          <w:p>
            <w:pPr>
              <w:pStyle w:val="Compact"/>
              <w:jc w:val="left"/>
            </w:pPr>
            <w:r>
              <w:t xml:space="preserve">Bujumbura-based; grew from the PRODEFI-IFAD Rural Youth Employment (EJR) project</w:t>
            </w:r>
          </w:p>
        </w:tc>
        <w:tc>
          <w:tcPr/>
          <w:p>
            <w:pPr>
              <w:pStyle w:val="Compact"/>
              <w:jc w:val="left"/>
            </w:pPr>
            <w:r>
              <w:t xml:space="preserve">NGO/ASBL (est. 2018); ties to Ministry of Environment/Agriculture; Equator Initiative recognized</w:t>
            </w:r>
          </w:p>
        </w:tc>
        <w:tc>
          <w:tcPr/>
          <w:p>
            <w:pPr>
              <w:pStyle w:val="Compact"/>
              <w:jc w:val="left"/>
            </w:pPr>
            <w:r>
              <w:t xml:space="preserve">Agro-pastoral enterprise creation for youth</w:t>
            </w:r>
          </w:p>
        </w:tc>
        <w:tc>
          <w:tcPr/>
          <w:p>
            <w:pPr>
              <w:pStyle w:val="Compact"/>
              <w:jc w:val="left"/>
            </w:pPr>
            <w:r>
              <w:t xml:space="preserve">AAICE 2026 host incubator; local convening power in the HQ country; footprint requires direct verification</w:t>
            </w:r>
          </w:p>
        </w:tc>
      </w:tr>
      <w:tr>
        <w:tc>
          <w:tcPr/>
          <w:p>
            <w:pPr>
              <w:pStyle w:val="Compact"/>
              <w:jc w:val="left"/>
            </w:pPr>
            <w:r>
              <w:t xml:space="preserve">6 – Tier 2</w:t>
            </w:r>
          </w:p>
        </w:tc>
        <w:tc>
          <w:tcPr/>
          <w:p>
            <w:pPr>
              <w:pStyle w:val="Compact"/>
              <w:jc w:val="left"/>
            </w:pPr>
            <w:r>
              <w:t xml:space="preserve">Burundi Business Incubator (BBIN)</w:t>
            </w:r>
          </w:p>
        </w:tc>
        <w:tc>
          <w:tcPr/>
          <w:p>
            <w:pPr>
              <w:pStyle w:val="Compact"/>
              <w:jc w:val="left"/>
            </w:pPr>
            <w:r>
              <w:t xml:space="preserve">Burundi</w:t>
            </w:r>
          </w:p>
        </w:tc>
        <w:tc>
          <w:tcPr/>
          <w:p>
            <w:pPr>
              <w:pStyle w:val="Compact"/>
              <w:jc w:val="left"/>
            </w:pPr>
            <w:r>
              <w:t xml:space="preserve">Bujumbura; Burundi’s first business incubator (10+ yrs); single-site co-working/training</w:t>
            </w:r>
          </w:p>
        </w:tc>
        <w:tc>
          <w:tcPr/>
          <w:p>
            <w:pPr>
              <w:pStyle w:val="Compact"/>
              <w:jc w:val="left"/>
            </w:pPr>
            <w:r>
              <w:t xml:space="preserve">ASBL; program director AAIN-certified; urban + rural SME training/coaching</w:t>
            </w:r>
          </w:p>
        </w:tc>
        <w:tc>
          <w:tcPr/>
          <w:p>
            <w:pPr>
              <w:pStyle w:val="Compact"/>
              <w:jc w:val="left"/>
            </w:pPr>
            <w:r>
              <w:t xml:space="preserve">General SME + agribusiness incubation</w:t>
            </w:r>
          </w:p>
        </w:tc>
        <w:tc>
          <w:tcPr/>
          <w:p>
            <w:pPr>
              <w:pStyle w:val="Compact"/>
              <w:jc w:val="left"/>
            </w:pPr>
            <w:r>
              <w:t xml:space="preserve">AAICE 2026 host; administrative maturity; limited multi-site footprint</w:t>
            </w:r>
          </w:p>
        </w:tc>
      </w:tr>
      <w:tr>
        <w:tc>
          <w:tcPr/>
          <w:p>
            <w:pPr>
              <w:pStyle w:val="Compact"/>
              <w:jc w:val="left"/>
            </w:pPr>
            <w:r>
              <w:t xml:space="preserve">7 – Tier 2</w:t>
            </w:r>
          </w:p>
        </w:tc>
        <w:tc>
          <w:tcPr/>
          <w:p>
            <w:pPr>
              <w:pStyle w:val="Compact"/>
              <w:jc w:val="left"/>
            </w:pPr>
            <w:r>
              <w:t xml:space="preserve">FATE Foundation</w:t>
            </w:r>
          </w:p>
        </w:tc>
        <w:tc>
          <w:tcPr/>
          <w:p>
            <w:pPr>
              <w:pStyle w:val="Compact"/>
              <w:jc w:val="left"/>
            </w:pPr>
            <w:r>
              <w:t xml:space="preserve">Nigeria</w:t>
            </w:r>
          </w:p>
        </w:tc>
        <w:tc>
          <w:tcPr/>
          <w:p>
            <w:pPr>
              <w:pStyle w:val="Compact"/>
              <w:jc w:val="left"/>
            </w:pPr>
            <w:r>
              <w:t xml:space="preserve">Lagos-based;</w:t>
            </w:r>
            <w:r>
              <w:t xml:space="preserve"> </w:t>
            </w:r>
            <w:r>
              <w:t xml:space="preserve">“</w:t>
            </w:r>
            <w:r>
              <w:t xml:space="preserve">Nigeria’s foremost enterprise support organisation</w:t>
            </w:r>
            <w:r>
              <w:t xml:space="preserve">”</w:t>
            </w:r>
            <w:r>
              <w:t xml:space="preserve">; msmehub.org digital platform</w:t>
            </w:r>
          </w:p>
        </w:tc>
        <w:tc>
          <w:tcPr/>
          <w:p>
            <w:pPr>
              <w:pStyle w:val="Compact"/>
              <w:jc w:val="left"/>
            </w:pPr>
            <w:r>
              <w:t xml:space="preserve">25+ yrs; ScaleUp Agribusiness Accelerator (w/ African Capital Alliance); Citi Foundation-funded youth programme; multi-country partnership with AIMS</w:t>
            </w:r>
          </w:p>
        </w:tc>
        <w:tc>
          <w:tcPr/>
          <w:p>
            <w:pPr>
              <w:pStyle w:val="Compact"/>
              <w:jc w:val="left"/>
            </w:pPr>
            <w:r>
              <w:t xml:space="preserve">Enterprise support incl. agribusiness accelerator</w:t>
            </w:r>
          </w:p>
        </w:tc>
        <w:tc>
          <w:tcPr/>
          <w:p>
            <w:pPr>
              <w:pStyle w:val="Compact"/>
              <w:jc w:val="left"/>
            </w:pPr>
            <w:r>
              <w:t xml:space="preserve">Strong admin/mentor capacity + digital reach; footprint largely Lagos-centric – verify sub-branches</w:t>
            </w:r>
          </w:p>
        </w:tc>
      </w:tr>
      <w:tr>
        <w:tc>
          <w:tcPr/>
          <w:p>
            <w:pPr>
              <w:pStyle w:val="Compact"/>
              <w:jc w:val="left"/>
            </w:pPr>
            <w:r>
              <w:t xml:space="preserve">8 – Tier 2</w:t>
            </w:r>
          </w:p>
        </w:tc>
        <w:tc>
          <w:tcPr/>
          <w:p>
            <w:pPr>
              <w:pStyle w:val="Compact"/>
              <w:jc w:val="left"/>
            </w:pPr>
            <w:r>
              <w:t xml:space="preserve">Sahel Consulting Agriculture &amp; Nutrition</w:t>
            </w:r>
          </w:p>
        </w:tc>
        <w:tc>
          <w:tcPr/>
          <w:p>
            <w:pPr>
              <w:pStyle w:val="Compact"/>
              <w:jc w:val="left"/>
            </w:pPr>
            <w:r>
              <w:t xml:space="preserve">Nigeria</w:t>
            </w:r>
          </w:p>
        </w:tc>
        <w:tc>
          <w:tcPr/>
          <w:p>
            <w:pPr>
              <w:pStyle w:val="Compact"/>
              <w:jc w:val="left"/>
            </w:pPr>
            <w:r>
              <w:t xml:space="preserve">Abuja + Lagos offices; 65-person team; works across sub-Saharan Africa</w:t>
            </w:r>
          </w:p>
        </w:tc>
        <w:tc>
          <w:tcPr/>
          <w:p>
            <w:pPr>
              <w:pStyle w:val="Compact"/>
              <w:jc w:val="left"/>
            </w:pPr>
            <w:r>
              <w:t xml:space="preserve">Private consulting firm (not a physical incubator network); deep government/donor relationships; affiliated Sahel Capital (FAFIN, $65.9M fund)</w:t>
            </w:r>
          </w:p>
        </w:tc>
        <w:tc>
          <w:tcPr/>
          <w:p>
            <w:pPr>
              <w:pStyle w:val="Compact"/>
              <w:jc w:val="left"/>
            </w:pPr>
            <w:r>
              <w:t xml:space="preserve">Value-chain analysis, dairy (ALDDN), seed systems</w:t>
            </w:r>
          </w:p>
        </w:tc>
        <w:tc>
          <w:tcPr/>
          <w:p>
            <w:pPr>
              <w:pStyle w:val="Compact"/>
              <w:jc w:val="left"/>
            </w:pPr>
            <w:r>
              <w:t xml:space="preserve">High institutional/analytical capacity but thin physical field footprint; better as advisory partner than hub host</w:t>
            </w:r>
          </w:p>
        </w:tc>
      </w:tr>
      <w:tr>
        <w:tc>
          <w:tcPr/>
          <w:p>
            <w:pPr>
              <w:pStyle w:val="Compact"/>
              <w:jc w:val="left"/>
            </w:pPr>
            <w:r>
              <w:t xml:space="preserve">9 – Tier 3 (requires direct verification via AAIN)</w:t>
            </w:r>
          </w:p>
        </w:tc>
        <w:tc>
          <w:tcPr/>
          <w:p>
            <w:pPr>
              <w:pStyle w:val="Compact"/>
              <w:jc w:val="left"/>
            </w:pPr>
            <w:r>
              <w:t xml:space="preserve">National anchor incubators (Kenya, Rwanda, Mali, Uganda, South Africa, Senegal, Zambia, Benin, Malawi chapters)</w:t>
            </w:r>
          </w:p>
        </w:tc>
        <w:tc>
          <w:tcPr/>
          <w:p>
            <w:pPr>
              <w:pStyle w:val="Compact"/>
              <w:jc w:val="left"/>
            </w:pPr>
            <w:r>
              <w:t xml:space="preserve">Multiple</w:t>
            </w:r>
          </w:p>
        </w:tc>
        <w:tc>
          <w:tcPr/>
          <w:p>
            <w:pPr>
              <w:pStyle w:val="Compact"/>
              <w:jc w:val="left"/>
            </w:pPr>
            <w:r>
              <w:t xml:space="preserve">AAIN lists regional/contact offices but individual member rosters are not public</w:t>
            </w:r>
          </w:p>
        </w:tc>
        <w:tc>
          <w:tcPr/>
          <w:p>
            <w:pPr>
              <w:pStyle w:val="Compact"/>
              <w:jc w:val="left"/>
            </w:pPr>
            <w:r>
              <w:t xml:space="preserve">AAIN board historically drew members from Kenya, South Africa, Ghana, Uganda, Zambia, Mali, Malawi and Nigeria</w:t>
            </w:r>
          </w:p>
        </w:tc>
        <w:tc>
          <w:tcPr/>
          <w:p>
            <w:pPr>
              <w:pStyle w:val="Compact"/>
              <w:jc w:val="left"/>
            </w:pPr>
            <w:r>
              <w:t xml:space="preserve">Mixed</w:t>
            </w:r>
          </w:p>
        </w:tc>
        <w:tc>
          <w:tcPr/>
          <w:p>
            <w:pPr>
              <w:pStyle w:val="Compact"/>
              <w:jc w:val="left"/>
            </w:pPr>
            <w:r>
              <w:t xml:space="preserve">Named at network level only; require AAIN member-directory access to assess footprint</w:t>
            </w:r>
          </w:p>
        </w:tc>
      </w:tr>
    </w:tbl>
    <w:p>
      <w:pPr>
        <w:pStyle w:val="BodyText"/>
      </w:pPr>
      <w:r>
        <w:rPr>
          <w:bCs/>
          <w:b/>
        </w:rPr>
        <w:t xml:space="preserve">West/Central Africa innovation spaces named in AAIN/CTA programming</w:t>
      </w:r>
      <w:r>
        <w:t xml:space="preserve"> </w:t>
      </w:r>
      <w:r>
        <w:t xml:space="preserve">(member/affiliate status varies; treat as leads requiring verification): Orange Fab (Cote d’Ivoire), Wennovation (Nigeria), EcoHub (Togo), Etrilabs (Benin), Suguba (Mali), CTIC Dakar (Senegal), CIPMEN (Niger), Woelab (Togo), Jokkolab. These are mostly single-city tech hubs – useful for urban spokes, not multi-site rural wheels.</w:t>
      </w:r>
    </w:p>
    <w:bookmarkEnd w:id="23"/>
    <w:bookmarkStart w:id="24" w:name="confidence-data-gaps-deliverable-1"/>
    <w:p>
      <w:pPr>
        <w:pStyle w:val="Heading3"/>
      </w:pPr>
      <w:r>
        <w:t xml:space="preserve">Confidence &amp; data gaps – Deliverable 1</w:t>
      </w:r>
    </w:p>
    <w:p>
      <w:pPr>
        <w:pStyle w:val="FirstParagraph"/>
      </w:pPr>
      <w:r>
        <w:t xml:space="preserve">AAIN does not publish a machine-readable member directory; individual member-level footprint data is therefore thin and largely unverifiable from open sources. HIGH-confidence footprint data exists only for Songhai, IITA-BIP, KCIC and the Burundi cluster. Everything in Tier 3 and the named-hub list requires direct verification via AAIN’s secretariat (member directory, AAICE participant lists). Mentor/expert counts vary across AAIN’s own pages (510 vs 1,600 mentors), so treat AAIN capacity figures as approximate.</w:t>
      </w:r>
    </w:p>
    <w:p>
      <w:r>
        <w:pict>
          <v:rect style="width:0;height:1.5pt" o:hralign="center" o:hrstd="t" o:hr="t"/>
        </w:pict>
      </w:r>
    </w:p>
    <w:bookmarkEnd w:id="24"/>
    <w:bookmarkEnd w:id="25"/>
    <w:bookmarkStart w:id="35" w:name="Xab46198a062879cb1e190fc5da3744c28af3ad2"/>
    <w:p>
      <w:pPr>
        <w:pStyle w:val="Heading2"/>
      </w:pPr>
      <w:r>
        <w:t xml:space="preserve">Deliverable 2 – Pan-African Pillar-Institution Landscape (ranked within verticals)</w:t>
      </w:r>
    </w:p>
    <w:p>
      <w:pPr>
        <w:pStyle w:val="FirstParagraph"/>
      </w:pPr>
      <w:r>
        <w:t xml:space="preserve">Selection rule applied throughout: NGOs/multilaterals first; private-sector players included only where heavily donor/concessionally subsidised, with that subsidy stated explicitly and the player marked [PRIVATE].</w:t>
      </w:r>
    </w:p>
    <w:bookmarkStart w:id="26" w:name="X37a6491ac69fa1f51e9f8fda7ad1549f13dd532"/>
    <w:p>
      <w:pPr>
        <w:pStyle w:val="Heading3"/>
      </w:pPr>
      <w:r>
        <w:t xml:space="preserve">Strategic geography note (informs country sequencing)</w:t>
      </w:r>
    </w:p>
    <w:p>
      <w:pPr>
        <w:pStyle w:val="FirstParagraph"/>
      </w:pPr>
      <w:r>
        <w:t xml:space="preserve">Mission 300 (World Bank + AfDB) aims to connect 300 million Africans by 2030. Per the Rockefeller Foundation’s Mission 300 materials, nearly 600 million people in Africa – 85% of the world’s unelectrified population – still lack electricity; the average electrification rate across participating countries is ~53%. DRC is the archetypal very-large/low-electrification market: per World Bank/MIGA, DRC has an electrification rate of just 19% and the second-highest number of people globally – about 77 million – without access to electricity, with less than 2% of rural areas electrified. Its flagship</w:t>
      </w:r>
      <w:r>
        <w:t xml:space="preserve"> </w:t>
      </w:r>
      <w:r>
        <w:t xml:space="preserve">“</w:t>
      </w:r>
      <w:r>
        <w:t xml:space="preserve">Africa’s largest mini-grid</w:t>
      </w:r>
      <w:r>
        <w:t xml:space="preserve">”</w:t>
      </w:r>
      <w:r>
        <w:t xml:space="preserve"> </w:t>
      </w:r>
      <w:r>
        <w:t xml:space="preserve">illustrates the gap between promise and delivery: MIGA’s July 2024 $50.3M guarantee to Congo Energy Solutions (investing in Nuru SASU) is set to reach over 28,000 households and businesses in eastern DRC, while the company’s stated ambition was to provide energy to up to five million people by 2025.</w:t>
      </w:r>
    </w:p>
    <w:p>
      <w:pPr>
        <w:pStyle w:val="BodyText"/>
      </w:pPr>
      <w:r>
        <w:t xml:space="preserve">Independent analysis by ODI (Overseas Development Institute) flags that much headline Mission 300 progress is relabeled legacy work: Tanzania’s 7.5 million attributed to Mission 300 is essentially TREEP’s entire cumulative achievement, relabelled, and by end-2024 Tanzania’s Rural Energy Agency had electrified 12,301 of 12,318 villages (99.9%); Nigeria’s DARES status report classifies the mechanism as a NEP Legacy disbursement window. PURE Power Africa should therefore treat national electrification figures as directional and deploy in a deliberate spread: very large/low-access (DRC), mid-size (e.g., Burundi, Zambia), and denser/higher-access (Kenya, Ghana).</w:t>
      </w:r>
    </w:p>
    <w:bookmarkEnd w:id="26"/>
    <w:bookmarkStart w:id="27" w:name="a-agriculture-farmer-training"/>
    <w:p>
      <w:pPr>
        <w:pStyle w:val="Heading3"/>
      </w:pPr>
      <w:r>
        <w:t xml:space="preserve">(a) Agriculture &amp; farmer training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Org</w:t>
            </w:r>
          </w:p>
        </w:tc>
        <w:tc>
          <w:tcPr/>
          <w:p>
            <w:pPr>
              <w:pStyle w:val="Compact"/>
              <w:jc w:val="left"/>
            </w:pPr>
            <w:r>
              <w:t xml:space="preserve">Footprint</w:t>
            </w:r>
          </w:p>
        </w:tc>
        <w:tc>
          <w:tcPr/>
          <w:p>
            <w:pPr>
              <w:pStyle w:val="Compact"/>
              <w:jc w:val="left"/>
            </w:pPr>
            <w:r>
              <w:t xml:space="preserve">Hub-level contribution</w:t>
            </w:r>
          </w:p>
        </w:tc>
        <w:tc>
          <w:tcPr/>
          <w:p>
            <w:pPr>
              <w:pStyle w:val="Compact"/>
              <w:jc w:val="left"/>
            </w:pPr>
            <w:r>
              <w:t xml:space="preserve">Funding model</w:t>
            </w:r>
          </w:p>
        </w:tc>
        <w:tc>
          <w:tcPr/>
          <w:p>
            <w:pPr>
              <w:pStyle w:val="Compact"/>
              <w:jc w:val="left"/>
            </w:pPr>
            <w:r>
              <w:t xml:space="preserve">Fit</w:t>
            </w:r>
          </w:p>
        </w:tc>
      </w:tr>
      <w:tr>
        <w:tc>
          <w:tcPr/>
          <w:p>
            <w:pPr>
              <w:pStyle w:val="Compact"/>
              <w:jc w:val="left"/>
            </w:pPr>
            <w:r>
              <w:t xml:space="preserve">1</w:t>
            </w:r>
          </w:p>
        </w:tc>
        <w:tc>
          <w:tcPr/>
          <w:p>
            <w:pPr>
              <w:pStyle w:val="Compact"/>
              <w:jc w:val="left"/>
            </w:pPr>
            <w:r>
              <w:t xml:space="preserve">FAO (country programs + Farmer Field Schools)</w:t>
            </w:r>
          </w:p>
        </w:tc>
        <w:tc>
          <w:tcPr/>
          <w:p>
            <w:pPr>
              <w:pStyle w:val="Compact"/>
              <w:jc w:val="left"/>
            </w:pPr>
            <w:r>
              <w:t xml:space="preserve">Offices in nearly all African states; FFS in dozens of countries</w:t>
            </w:r>
          </w:p>
        </w:tc>
        <w:tc>
          <w:tcPr/>
          <w:p>
            <w:pPr>
              <w:pStyle w:val="Compact"/>
              <w:jc w:val="left"/>
            </w:pPr>
            <w:r>
              <w:t xml:space="preserve">Extension curricula, FFS networks, technical standards, government convening</w:t>
            </w:r>
          </w:p>
        </w:tc>
        <w:tc>
          <w:tcPr/>
          <w:p>
            <w:pPr>
              <w:pStyle w:val="Compact"/>
              <w:jc w:val="left"/>
            </w:pPr>
            <w:r>
              <w:t xml:space="preserve">UN specialized agency; assessed + voluntary contributions</w:t>
            </w:r>
          </w:p>
        </w:tc>
        <w:tc>
          <w:tcPr/>
          <w:p>
            <w:pPr>
              <w:pStyle w:val="Compact"/>
              <w:jc w:val="left"/>
            </w:pPr>
            <w:r>
              <w:t xml:space="preserve">Excellent anchor; already an AAIN partner</w:t>
            </w:r>
          </w:p>
        </w:tc>
      </w:tr>
      <w:tr>
        <w:tc>
          <w:tcPr/>
          <w:p>
            <w:pPr>
              <w:pStyle w:val="Compact"/>
              <w:jc w:val="left"/>
            </w:pPr>
            <w:r>
              <w:t xml:space="preserve">2</w:t>
            </w:r>
          </w:p>
        </w:tc>
        <w:tc>
          <w:tcPr/>
          <w:p>
            <w:pPr>
              <w:pStyle w:val="Compact"/>
              <w:jc w:val="left"/>
            </w:pPr>
            <w:r>
              <w:t xml:space="preserve">AGRA</w:t>
            </w:r>
          </w:p>
        </w:tc>
        <w:tc>
          <w:tcPr/>
          <w:p>
            <w:pPr>
              <w:pStyle w:val="Compact"/>
              <w:jc w:val="left"/>
            </w:pPr>
            <w:r>
              <w:t xml:space="preserve">Offices in 11 African countries; HQ Nairobi + Accra</w:t>
            </w:r>
          </w:p>
        </w:tc>
        <w:tc>
          <w:tcPr/>
          <w:p>
            <w:pPr>
              <w:pStyle w:val="Compact"/>
              <w:jc w:val="left"/>
            </w:pPr>
            <w:r>
              <w:t xml:space="preserve">Agro-dealer networks, input access, ~21M smallholder households reached indirectly, policy reform</w:t>
            </w:r>
          </w:p>
        </w:tc>
        <w:tc>
          <w:tcPr/>
          <w:p>
            <w:pPr>
              <w:pStyle w:val="Compact"/>
              <w:jc w:val="left"/>
            </w:pPr>
            <w:r>
              <w:t xml:space="preserve">Non-profit; Gates/Rockefeller-founded</w:t>
            </w:r>
          </w:p>
        </w:tc>
        <w:tc>
          <w:tcPr/>
          <w:p>
            <w:pPr>
              <w:pStyle w:val="Compact"/>
              <w:jc w:val="left"/>
            </w:pPr>
            <w:r>
              <w:t xml:space="preserve">Strong; AAIN partner and AAICE 2026 co-organiser</w:t>
            </w:r>
          </w:p>
        </w:tc>
      </w:tr>
      <w:tr>
        <w:tc>
          <w:tcPr/>
          <w:p>
            <w:pPr>
              <w:pStyle w:val="Compact"/>
              <w:jc w:val="left"/>
            </w:pPr>
            <w:r>
              <w:t xml:space="preserve">3</w:t>
            </w:r>
          </w:p>
        </w:tc>
        <w:tc>
          <w:tcPr/>
          <w:p>
            <w:pPr>
              <w:pStyle w:val="Compact"/>
              <w:jc w:val="left"/>
            </w:pPr>
            <w:r>
              <w:t xml:space="preserve">FARA (Forum for Agricultural Research in Africa)</w:t>
            </w:r>
          </w:p>
        </w:tc>
        <w:tc>
          <w:tcPr/>
          <w:p>
            <w:pPr>
              <w:pStyle w:val="Compact"/>
              <w:jc w:val="left"/>
            </w:pPr>
            <w:r>
              <w:t xml:space="preserve">Continental apex body (Accra); sub-regional orgs (ASARECA, CORAF, CCARDESA)</w:t>
            </w:r>
          </w:p>
        </w:tc>
        <w:tc>
          <w:tcPr/>
          <w:p>
            <w:pPr>
              <w:pStyle w:val="Compact"/>
              <w:jc w:val="left"/>
            </w:pPr>
            <w:r>
              <w:t xml:space="preserve">R&amp;D pipeline, technology commercialization, research linkage</w:t>
            </w:r>
          </w:p>
        </w:tc>
        <w:tc>
          <w:tcPr/>
          <w:p>
            <w:pPr>
              <w:pStyle w:val="Compact"/>
              <w:jc w:val="left"/>
            </w:pPr>
            <w:r>
              <w:t xml:space="preserve">AU technical body; donor-funded</w:t>
            </w:r>
          </w:p>
        </w:tc>
        <w:tc>
          <w:tcPr/>
          <w:p>
            <w:pPr>
              <w:pStyle w:val="Compact"/>
              <w:jc w:val="left"/>
            </w:pPr>
            <w:r>
              <w:t xml:space="preserve">Strong knowledge/AU-standing partner; not a field operator</w:t>
            </w:r>
          </w:p>
        </w:tc>
      </w:tr>
      <w:tr>
        <w:tc>
          <w:tcPr/>
          <w:p>
            <w:pPr>
              <w:pStyle w:val="Compact"/>
              <w:jc w:val="left"/>
            </w:pPr>
            <w:r>
              <w:t xml:space="preserve">4</w:t>
            </w:r>
          </w:p>
        </w:tc>
        <w:tc>
          <w:tcPr/>
          <w:p>
            <w:pPr>
              <w:pStyle w:val="Compact"/>
              <w:jc w:val="left"/>
            </w:pPr>
            <w:r>
              <w:t xml:space="preserve">IITA (as ag-research pillar)</w:t>
            </w:r>
          </w:p>
        </w:tc>
        <w:tc>
          <w:tcPr/>
          <w:p>
            <w:pPr>
              <w:pStyle w:val="Compact"/>
              <w:jc w:val="left"/>
            </w:pPr>
            <w:r>
              <w:t xml:space="preserve">28 countries</w:t>
            </w:r>
          </w:p>
        </w:tc>
        <w:tc>
          <w:tcPr/>
          <w:p>
            <w:pPr>
              <w:pStyle w:val="Compact"/>
              <w:jc w:val="left"/>
            </w:pPr>
            <w:r>
              <w:t xml:space="preserve">Improved seed, pest control, post-harvest tools</w:t>
            </w:r>
          </w:p>
        </w:tc>
        <w:tc>
          <w:tcPr/>
          <w:p>
            <w:pPr>
              <w:pStyle w:val="Compact"/>
              <w:jc w:val="left"/>
            </w:pPr>
            <w:r>
              <w:t xml:space="preserve">CGIAR; donor-funded</w:t>
            </w:r>
          </w:p>
        </w:tc>
        <w:tc>
          <w:tcPr/>
          <w:p>
            <w:pPr>
              <w:pStyle w:val="Compact"/>
              <w:jc w:val="left"/>
            </w:pPr>
            <w:r>
              <w:t xml:space="preserve">Overlaps with the Deliverable-1 role</w:t>
            </w:r>
          </w:p>
        </w:tc>
      </w:tr>
    </w:tbl>
    <w:bookmarkEnd w:id="27"/>
    <w:bookmarkStart w:id="28" w:name="b-food-systems-logistics"/>
    <w:p>
      <w:pPr>
        <w:pStyle w:val="Heading3"/>
      </w:pPr>
      <w:r>
        <w:t xml:space="preserve">(b) Food systems &amp; logistics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Org</w:t>
            </w:r>
          </w:p>
        </w:tc>
        <w:tc>
          <w:tcPr/>
          <w:p>
            <w:pPr>
              <w:pStyle w:val="Compact"/>
              <w:jc w:val="left"/>
            </w:pPr>
            <w:r>
              <w:t xml:space="preserve">Footprint</w:t>
            </w:r>
          </w:p>
        </w:tc>
        <w:tc>
          <w:tcPr/>
          <w:p>
            <w:pPr>
              <w:pStyle w:val="Compact"/>
              <w:jc w:val="left"/>
            </w:pPr>
            <w:r>
              <w:t xml:space="preserve">Hub-level contribution</w:t>
            </w:r>
          </w:p>
        </w:tc>
        <w:tc>
          <w:tcPr/>
          <w:p>
            <w:pPr>
              <w:pStyle w:val="Compact"/>
              <w:jc w:val="left"/>
            </w:pPr>
            <w:r>
              <w:t xml:space="preserve">Funding model</w:t>
            </w:r>
          </w:p>
        </w:tc>
        <w:tc>
          <w:tcPr/>
          <w:p>
            <w:pPr>
              <w:pStyle w:val="Compact"/>
              <w:jc w:val="left"/>
            </w:pPr>
            <w:r>
              <w:t xml:space="preserve">Fit</w:t>
            </w:r>
          </w:p>
        </w:tc>
      </w:tr>
      <w:tr>
        <w:tc>
          <w:tcPr/>
          <w:p>
            <w:pPr>
              <w:pStyle w:val="Compact"/>
              <w:jc w:val="left"/>
            </w:pPr>
            <w:r>
              <w:t xml:space="preserve">1</w:t>
            </w:r>
          </w:p>
        </w:tc>
        <w:tc>
          <w:tcPr/>
          <w:p>
            <w:pPr>
              <w:pStyle w:val="Compact"/>
              <w:jc w:val="left"/>
            </w:pPr>
            <w:r>
              <w:t xml:space="preserve">WFP (World Food Programme)</w:t>
            </w:r>
          </w:p>
        </w:tc>
        <w:tc>
          <w:tcPr/>
          <w:p>
            <w:pPr>
              <w:pStyle w:val="Compact"/>
              <w:jc w:val="left"/>
            </w:pPr>
            <w:r>
              <w:t xml:space="preserve">100+ countries; ~600 warehouses/logistics hubs globally; regional bureaus (Nairobi, Dakar)</w:t>
            </w:r>
          </w:p>
        </w:tc>
        <w:tc>
          <w:tcPr/>
          <w:p>
            <w:pPr>
              <w:pStyle w:val="Compact"/>
              <w:jc w:val="left"/>
            </w:pPr>
            <w:r>
              <w:t xml:space="preserve">Supply-chain design, warehousing, cold chain, smallholder market access, last-mile transport, digital tools (School Connect, SCOUT)</w:t>
            </w:r>
          </w:p>
        </w:tc>
        <w:tc>
          <w:tcPr/>
          <w:p>
            <w:pPr>
              <w:pStyle w:val="Compact"/>
              <w:jc w:val="left"/>
            </w:pPr>
            <w:r>
              <w:t xml:space="preserve">UN agency; ~70% of humanitarian funding on supply chains</w:t>
            </w:r>
          </w:p>
        </w:tc>
        <w:tc>
          <w:tcPr/>
          <w:p>
            <w:pPr>
              <w:pStyle w:val="Compact"/>
              <w:jc w:val="left"/>
            </w:pPr>
            <w:r>
              <w:t xml:space="preserve">Best-in-class logistics anchor; can run the food-systems spoke</w:t>
            </w:r>
          </w:p>
        </w:tc>
      </w:tr>
    </w:tbl>
    <w:bookmarkEnd w:id="28"/>
    <w:bookmarkStart w:id="29" w:name="c-health-networks"/>
    <w:p>
      <w:pPr>
        <w:pStyle w:val="Heading3"/>
      </w:pPr>
      <w:r>
        <w:t xml:space="preserve">(c) Health networks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Org</w:t>
            </w:r>
          </w:p>
        </w:tc>
        <w:tc>
          <w:tcPr/>
          <w:p>
            <w:pPr>
              <w:pStyle w:val="Compact"/>
              <w:jc w:val="left"/>
            </w:pPr>
            <w:r>
              <w:t xml:space="preserve">Footprint</w:t>
            </w:r>
          </w:p>
        </w:tc>
        <w:tc>
          <w:tcPr/>
          <w:p>
            <w:pPr>
              <w:pStyle w:val="Compact"/>
              <w:jc w:val="left"/>
            </w:pPr>
            <w:r>
              <w:t xml:space="preserve">Hub-level contribution</w:t>
            </w:r>
          </w:p>
        </w:tc>
        <w:tc>
          <w:tcPr/>
          <w:p>
            <w:pPr>
              <w:pStyle w:val="Compact"/>
              <w:jc w:val="left"/>
            </w:pPr>
            <w:r>
              <w:t xml:space="preserve">Funding model</w:t>
            </w:r>
          </w:p>
        </w:tc>
        <w:tc>
          <w:tcPr/>
          <w:p>
            <w:pPr>
              <w:pStyle w:val="Compact"/>
              <w:jc w:val="left"/>
            </w:pPr>
            <w:r>
              <w:t xml:space="preserve">Fit</w:t>
            </w:r>
          </w:p>
        </w:tc>
      </w:tr>
      <w:tr>
        <w:tc>
          <w:tcPr/>
          <w:p>
            <w:pPr>
              <w:pStyle w:val="Compact"/>
              <w:jc w:val="left"/>
            </w:pPr>
            <w:r>
              <w:t xml:space="preserve">1</w:t>
            </w:r>
          </w:p>
        </w:tc>
        <w:tc>
          <w:tcPr/>
          <w:p>
            <w:pPr>
              <w:pStyle w:val="Compact"/>
              <w:jc w:val="left"/>
            </w:pPr>
            <w:r>
              <w:t xml:space="preserve">IFRC / Red Cross national societies</w:t>
            </w:r>
          </w:p>
        </w:tc>
        <w:tc>
          <w:tcPr/>
          <w:p>
            <w:pPr>
              <w:pStyle w:val="Compact"/>
              <w:jc w:val="left"/>
            </w:pPr>
            <w:r>
              <w:t xml:space="preserve">191 national societies; branch networks in virtually every African country; millions of volunteers</w:t>
            </w:r>
          </w:p>
        </w:tc>
        <w:tc>
          <w:tcPr/>
          <w:p>
            <w:pPr>
              <w:pStyle w:val="Compact"/>
              <w:jc w:val="left"/>
            </w:pPr>
            <w:r>
              <w:t xml:space="preserve">Community health workers, clinic branches, disaster/health response, tele-health delivery points</w:t>
            </w:r>
          </w:p>
        </w:tc>
        <w:tc>
          <w:tcPr/>
          <w:p>
            <w:pPr>
              <w:pStyle w:val="Compact"/>
              <w:jc w:val="left"/>
            </w:pPr>
            <w:r>
              <w:t xml:space="preserve">Non-profit federation; national-society + donor funding</w:t>
            </w:r>
          </w:p>
        </w:tc>
        <w:tc>
          <w:tcPr/>
          <w:p>
            <w:pPr>
              <w:pStyle w:val="Compact"/>
              <w:jc w:val="left"/>
            </w:pPr>
            <w:r>
              <w:t xml:space="preserve">Unmatched rural branch density for hub clinics</w:t>
            </w:r>
          </w:p>
        </w:tc>
      </w:tr>
      <w:tr>
        <w:tc>
          <w:tcPr/>
          <w:p>
            <w:pPr>
              <w:pStyle w:val="Compact"/>
              <w:jc w:val="left"/>
            </w:pPr>
            <w:r>
              <w:t xml:space="preserve">2</w:t>
            </w:r>
          </w:p>
        </w:tc>
        <w:tc>
          <w:tcPr/>
          <w:p>
            <w:pPr>
              <w:pStyle w:val="Compact"/>
              <w:jc w:val="left"/>
            </w:pPr>
            <w:r>
              <w:t xml:space="preserve">Amref Health Africa</w:t>
            </w:r>
          </w:p>
        </w:tc>
        <w:tc>
          <w:tcPr/>
          <w:p>
            <w:pPr>
              <w:pStyle w:val="Compact"/>
              <w:jc w:val="left"/>
            </w:pPr>
            <w:r>
              <w:t xml:space="preserve">35+ African countries; ~16M people reached/yr; HQ Nairobi; hubs incl. Senegal (West Africa)</w:t>
            </w:r>
          </w:p>
        </w:tc>
        <w:tc>
          <w:tcPr/>
          <w:p>
            <w:pPr>
              <w:pStyle w:val="Compact"/>
              <w:jc w:val="left"/>
            </w:pPr>
            <w:r>
              <w:t xml:space="preserve">Community health worker training, mobile/e-learning, Amref International University, tele-health</w:t>
            </w:r>
          </w:p>
        </w:tc>
        <w:tc>
          <w:tcPr/>
          <w:p>
            <w:pPr>
              <w:pStyle w:val="Compact"/>
              <w:jc w:val="left"/>
            </w:pPr>
            <w:r>
              <w:t xml:space="preserve">Largest Africa-based health NGO; ~$255M revenue</w:t>
            </w:r>
          </w:p>
        </w:tc>
        <w:tc>
          <w:tcPr/>
          <w:p>
            <w:pPr>
              <w:pStyle w:val="Compact"/>
              <w:jc w:val="left"/>
            </w:pPr>
            <w:r>
              <w:t xml:space="preserve">Excellent training + CHW pillar for hub health services</w:t>
            </w:r>
          </w:p>
        </w:tc>
      </w:tr>
      <w:tr>
        <w:tc>
          <w:tcPr/>
          <w:p>
            <w:pPr>
              <w:pStyle w:val="Compact"/>
              <w:jc w:val="left"/>
            </w:pPr>
            <w:r>
              <w:t xml:space="preserve">3</w:t>
            </w:r>
          </w:p>
        </w:tc>
        <w:tc>
          <w:tcPr/>
          <w:p>
            <w:pPr>
              <w:pStyle w:val="Compact"/>
              <w:jc w:val="left"/>
            </w:pPr>
            <w:r>
              <w:t xml:space="preserve">AU Pan-African e-Network (health arm)</w:t>
            </w:r>
          </w:p>
        </w:tc>
        <w:tc>
          <w:tcPr/>
          <w:p>
            <w:pPr>
              <w:pStyle w:val="Compact"/>
              <w:jc w:val="left"/>
            </w:pPr>
            <w:r>
              <w:t xml:space="preserve">48 AU member states; 169 centres; Dakar hub</w:t>
            </w:r>
          </w:p>
        </w:tc>
        <w:tc>
          <w:tcPr/>
          <w:p>
            <w:pPr>
              <w:pStyle w:val="Compact"/>
              <w:jc w:val="left"/>
            </w:pPr>
            <w:r>
              <w:t xml:space="preserve">Tele-medicine consultation nodes, continuing medical education</w:t>
            </w:r>
          </w:p>
        </w:tc>
        <w:tc>
          <w:tcPr/>
          <w:p>
            <w:pPr>
              <w:pStyle w:val="Compact"/>
              <w:jc w:val="left"/>
            </w:pPr>
            <w:r>
              <w:t xml:space="preserve">AU-owned (ex-India/TCIL); Senegal now funds operations</w:t>
            </w:r>
          </w:p>
        </w:tc>
        <w:tc>
          <w:tcPr/>
          <w:p>
            <w:pPr>
              <w:pStyle w:val="Compact"/>
              <w:jc w:val="left"/>
            </w:pPr>
            <w:r>
              <w:t xml:space="preserve">Cross-cutting with education; status uncertain (see caveat)</w:t>
            </w:r>
          </w:p>
        </w:tc>
      </w:tr>
    </w:tbl>
    <w:bookmarkEnd w:id="29"/>
    <w:bookmarkStart w:id="30" w:name="d-education-training"/>
    <w:p>
      <w:pPr>
        <w:pStyle w:val="Heading3"/>
      </w:pPr>
      <w:r>
        <w:t xml:space="preserve">(d) Education &amp; training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Org</w:t>
            </w:r>
          </w:p>
        </w:tc>
        <w:tc>
          <w:tcPr/>
          <w:p>
            <w:pPr>
              <w:pStyle w:val="Compact"/>
              <w:jc w:val="left"/>
            </w:pPr>
            <w:r>
              <w:t xml:space="preserve">Footprint</w:t>
            </w:r>
          </w:p>
        </w:tc>
        <w:tc>
          <w:tcPr/>
          <w:p>
            <w:pPr>
              <w:pStyle w:val="Compact"/>
              <w:jc w:val="left"/>
            </w:pPr>
            <w:r>
              <w:t xml:space="preserve">Hub-level contribution</w:t>
            </w:r>
          </w:p>
        </w:tc>
        <w:tc>
          <w:tcPr/>
          <w:p>
            <w:pPr>
              <w:pStyle w:val="Compact"/>
              <w:jc w:val="left"/>
            </w:pPr>
            <w:r>
              <w:t xml:space="preserve">Funding model</w:t>
            </w:r>
          </w:p>
        </w:tc>
        <w:tc>
          <w:tcPr/>
          <w:p>
            <w:pPr>
              <w:pStyle w:val="Compact"/>
              <w:jc w:val="left"/>
            </w:pPr>
            <w:r>
              <w:t xml:space="preserve">Fit</w:t>
            </w:r>
          </w:p>
        </w:tc>
      </w:tr>
      <w:tr>
        <w:tc>
          <w:tcPr/>
          <w:p>
            <w:pPr>
              <w:pStyle w:val="Compact"/>
              <w:jc w:val="left"/>
            </w:pPr>
            <w:r>
              <w:t xml:space="preserve">1</w:t>
            </w:r>
          </w:p>
        </w:tc>
        <w:tc>
          <w:tcPr/>
          <w:p>
            <w:pPr>
              <w:pStyle w:val="Compact"/>
              <w:jc w:val="left"/>
            </w:pPr>
            <w:r>
              <w:t xml:space="preserve">RUFORUM</w:t>
            </w:r>
          </w:p>
        </w:tc>
        <w:tc>
          <w:tcPr/>
          <w:p>
            <w:pPr>
              <w:pStyle w:val="Compact"/>
              <w:jc w:val="left"/>
            </w:pPr>
            <w:r>
              <w:t xml:space="preserve">A consortium of 175 universities across 40 African countries (20 Central, 65 Eastern, 6 Northern, 53 Southern, 31 Western), created in 2004 by ten Vice Chancellors; Secretariat hosted at Makerere University, Kampala; regional hubs</w:t>
            </w:r>
          </w:p>
        </w:tc>
        <w:tc>
          <w:tcPr/>
          <w:p>
            <w:pPr>
              <w:pStyle w:val="Compact"/>
              <w:jc w:val="left"/>
            </w:pPr>
            <w:r>
              <w:t xml:space="preserve">Graduate training, ag research, curricula, student/faculty pipeline into hubs</w:t>
            </w:r>
          </w:p>
        </w:tc>
        <w:tc>
          <w:tcPr/>
          <w:p>
            <w:pPr>
              <w:pStyle w:val="Compact"/>
              <w:jc w:val="left"/>
            </w:pPr>
            <w:r>
              <w:t xml:space="preserve">International NGO; donor + member-funded</w:t>
            </w:r>
          </w:p>
        </w:tc>
        <w:tc>
          <w:tcPr/>
          <w:p>
            <w:pPr>
              <w:pStyle w:val="Compact"/>
              <w:jc w:val="left"/>
            </w:pPr>
            <w:r>
              <w:t xml:space="preserve">Best university-network partner; already linked to AAIN</w:t>
            </w:r>
          </w:p>
        </w:tc>
      </w:tr>
      <w:tr>
        <w:tc>
          <w:tcPr/>
          <w:p>
            <w:pPr>
              <w:pStyle w:val="Compact"/>
              <w:jc w:val="left"/>
            </w:pPr>
            <w:r>
              <w:t xml:space="preserve">2</w:t>
            </w:r>
          </w:p>
        </w:tc>
        <w:tc>
          <w:tcPr/>
          <w:p>
            <w:pPr>
              <w:pStyle w:val="Compact"/>
              <w:jc w:val="left"/>
            </w:pPr>
            <w:r>
              <w:t xml:space="preserve">AU Pan-African e-Network (tele-education)</w:t>
            </w:r>
          </w:p>
        </w:tc>
        <w:tc>
          <w:tcPr/>
          <w:p>
            <w:pPr>
              <w:pStyle w:val="Compact"/>
              <w:jc w:val="left"/>
            </w:pPr>
            <w:r>
              <w:t xml:space="preserve">48 states; 169 centres; Dakar hub; regional university centres</w:t>
            </w:r>
          </w:p>
        </w:tc>
        <w:tc>
          <w:tcPr/>
          <w:p>
            <w:pPr>
              <w:pStyle w:val="Compact"/>
              <w:jc w:val="left"/>
            </w:pPr>
            <w:r>
              <w:t xml:space="preserve">Distance learning, satellite/fiber tele-education classrooms</w:t>
            </w:r>
          </w:p>
        </w:tc>
        <w:tc>
          <w:tcPr/>
          <w:p>
            <w:pPr>
              <w:pStyle w:val="Compact"/>
              <w:jc w:val="left"/>
            </w:pPr>
            <w:r>
              <w:t xml:space="preserve">AU-owned; Senegal-funded</w:t>
            </w:r>
          </w:p>
        </w:tc>
        <w:tc>
          <w:tcPr/>
          <w:p>
            <w:pPr>
              <w:pStyle w:val="Compact"/>
              <w:jc w:val="left"/>
            </w:pPr>
            <w:r>
              <w:t xml:space="preserve">Ready-made tele-education rails IF reactivated</w:t>
            </w:r>
          </w:p>
        </w:tc>
      </w:tr>
    </w:tbl>
    <w:bookmarkEnd w:id="30"/>
    <w:bookmarkStart w:id="31" w:name="e-finance"/>
    <w:p>
      <w:pPr>
        <w:pStyle w:val="Heading3"/>
      </w:pPr>
      <w:r>
        <w:t xml:space="preserve">(e) Finance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Org</w:t>
            </w:r>
          </w:p>
        </w:tc>
        <w:tc>
          <w:tcPr/>
          <w:p>
            <w:pPr>
              <w:pStyle w:val="Compact"/>
              <w:jc w:val="left"/>
            </w:pPr>
            <w:r>
              <w:t xml:space="preserve">Footprint</w:t>
            </w:r>
          </w:p>
        </w:tc>
        <w:tc>
          <w:tcPr/>
          <w:p>
            <w:pPr>
              <w:pStyle w:val="Compact"/>
              <w:jc w:val="left"/>
            </w:pPr>
            <w:r>
              <w:t xml:space="preserve">Hub-level contribution</w:t>
            </w:r>
          </w:p>
        </w:tc>
        <w:tc>
          <w:tcPr/>
          <w:p>
            <w:pPr>
              <w:pStyle w:val="Compact"/>
              <w:jc w:val="left"/>
            </w:pPr>
            <w:r>
              <w:t xml:space="preserve">Funding model</w:t>
            </w:r>
          </w:p>
        </w:tc>
        <w:tc>
          <w:tcPr/>
          <w:p>
            <w:pPr>
              <w:pStyle w:val="Compact"/>
              <w:jc w:val="left"/>
            </w:pPr>
            <w:r>
              <w:t xml:space="preserve">Fit</w:t>
            </w:r>
          </w:p>
        </w:tc>
      </w:tr>
      <w:tr>
        <w:tc>
          <w:tcPr/>
          <w:p>
            <w:pPr>
              <w:pStyle w:val="Compact"/>
              <w:jc w:val="left"/>
            </w:pPr>
            <w:r>
              <w:t xml:space="preserve">1</w:t>
            </w:r>
          </w:p>
        </w:tc>
        <w:tc>
          <w:tcPr/>
          <w:p>
            <w:pPr>
              <w:pStyle w:val="Compact"/>
              <w:jc w:val="left"/>
            </w:pPr>
            <w:r>
              <w:t xml:space="preserve">Ecobank [PRIVATE – but uniquely justified]</w:t>
            </w:r>
          </w:p>
        </w:tc>
        <w:tc>
          <w:tcPr/>
          <w:p>
            <w:pPr>
              <w:pStyle w:val="Compact"/>
              <w:jc w:val="left"/>
            </w:pPr>
            <w:r>
              <w:t xml:space="preserve">Per Ecobank Group Pitchbook (31 Dec 2023): 650 branches, 110,834 Xpress Point agents, 32.4M+ customers, present in 35 African countries (38 banking + 19 non-banking subsidiaries), HQ Lome, Togo</w:t>
            </w:r>
          </w:p>
        </w:tc>
        <w:tc>
          <w:tcPr/>
          <w:p>
            <w:pPr>
              <w:pStyle w:val="Compact"/>
              <w:jc w:val="left"/>
            </w:pPr>
            <w:r>
              <w:t xml:space="preserve">Hub-level accounts, agent banking, mobile money (MFS Africa link to 170M wallets), SME/agri lending</w:t>
            </w:r>
          </w:p>
        </w:tc>
        <w:tc>
          <w:tcPr/>
          <w:p>
            <w:pPr>
              <w:pStyle w:val="Compact"/>
              <w:jc w:val="left"/>
            </w:pPr>
            <w:r>
              <w:t xml:space="preserve">Private pan-African bank; DFI credit lines (FMO, OPEC Fund); listed on 3 exchanges</w:t>
            </w:r>
          </w:p>
        </w:tc>
        <w:tc>
          <w:tcPr/>
          <w:p>
            <w:pPr>
              <w:pStyle w:val="Compact"/>
              <w:jc w:val="left"/>
            </w:pPr>
            <w:r>
              <w:t xml:space="preserve">Widest banking footprint on the continent; agent network reaches the last mile</w:t>
            </w:r>
          </w:p>
        </w:tc>
      </w:tr>
      <w:tr>
        <w:tc>
          <w:tcPr/>
          <w:p>
            <w:pPr>
              <w:pStyle w:val="Compact"/>
              <w:jc w:val="left"/>
            </w:pPr>
            <w:r>
              <w:t xml:space="preserve">2</w:t>
            </w:r>
          </w:p>
        </w:tc>
        <w:tc>
          <w:tcPr/>
          <w:p>
            <w:pPr>
              <w:pStyle w:val="Compact"/>
              <w:jc w:val="left"/>
            </w:pPr>
            <w:r>
              <w:t xml:space="preserve">FINCA Impact Finance</w:t>
            </w:r>
          </w:p>
        </w:tc>
        <w:tc>
          <w:tcPr/>
          <w:p>
            <w:pPr>
              <w:pStyle w:val="Compact"/>
              <w:jc w:val="left"/>
            </w:pPr>
            <w:r>
              <w:t xml:space="preserve">6 African subsidiaries (DRC, Malawi, Nigeria, Tanzania, Uganda, Zambia); FINCA DRC has 23 branches</w:t>
            </w:r>
          </w:p>
        </w:tc>
        <w:tc>
          <w:tcPr/>
          <w:p>
            <w:pPr>
              <w:pStyle w:val="Compact"/>
              <w:jc w:val="left"/>
            </w:pPr>
            <w:r>
              <w:t xml:space="preserve">Microloans, mobile/agency banking, BrightLife solar-energy finance (Uganda)</w:t>
            </w:r>
          </w:p>
        </w:tc>
        <w:tc>
          <w:tcPr/>
          <w:p>
            <w:pPr>
              <w:pStyle w:val="Compact"/>
              <w:jc w:val="left"/>
            </w:pPr>
            <w:r>
              <w:t xml:space="preserve">Non-profit parent (FINCA Int’l) majority-owns regulated MFIs</w:t>
            </w:r>
          </w:p>
        </w:tc>
        <w:tc>
          <w:tcPr/>
          <w:p>
            <w:pPr>
              <w:pStyle w:val="Compact"/>
              <w:jc w:val="left"/>
            </w:pPr>
            <w:r>
              <w:t xml:space="preserve">Strong non-profit-anchored microfinance + energy-finance crossover</w:t>
            </w:r>
          </w:p>
        </w:tc>
      </w:tr>
      <w:tr>
        <w:tc>
          <w:tcPr/>
          <w:p>
            <w:pPr>
              <w:pStyle w:val="Compact"/>
              <w:jc w:val="left"/>
            </w:pPr>
            <w:r>
              <w:t xml:space="preserve">3</w:t>
            </w:r>
          </w:p>
        </w:tc>
        <w:tc>
          <w:tcPr/>
          <w:p>
            <w:pPr>
              <w:pStyle w:val="Compact"/>
              <w:jc w:val="left"/>
            </w:pPr>
            <w:r>
              <w:t xml:space="preserve">AFRACA</w:t>
            </w:r>
          </w:p>
        </w:tc>
        <w:tc>
          <w:tcPr/>
          <w:p>
            <w:pPr>
              <w:pStyle w:val="Compact"/>
              <w:jc w:val="left"/>
            </w:pPr>
            <w:r>
              <w:t xml:space="preserve">Pan-African umbrella (est. 1977, Nairobi); banks, MFIs, central banks</w:t>
            </w:r>
          </w:p>
        </w:tc>
        <w:tc>
          <w:tcPr/>
          <w:p>
            <w:pPr>
              <w:pStyle w:val="Compact"/>
              <w:jc w:val="left"/>
            </w:pPr>
            <w:r>
              <w:t xml:space="preserve">Gateway to dozens of member ag-finance institutions for local partnering</w:t>
            </w:r>
          </w:p>
        </w:tc>
        <w:tc>
          <w:tcPr/>
          <w:p>
            <w:pPr>
              <w:pStyle w:val="Compact"/>
              <w:jc w:val="left"/>
            </w:pPr>
            <w:r>
              <w:t xml:space="preserve">Member-based non-profit</w:t>
            </w:r>
          </w:p>
        </w:tc>
        <w:tc>
          <w:tcPr/>
          <w:p>
            <w:pPr>
              <w:pStyle w:val="Compact"/>
              <w:jc w:val="left"/>
            </w:pPr>
            <w:r>
              <w:t xml:space="preserve">Use as a partner-sourcing gateway, not a branch operator</w:t>
            </w:r>
          </w:p>
        </w:tc>
      </w:tr>
      <w:tr>
        <w:tc>
          <w:tcPr/>
          <w:p>
            <w:pPr>
              <w:pStyle w:val="Compact"/>
              <w:jc w:val="left"/>
            </w:pPr>
            <w:r>
              <w:t xml:space="preserve">4</w:t>
            </w:r>
          </w:p>
        </w:tc>
        <w:tc>
          <w:tcPr/>
          <w:p>
            <w:pPr>
              <w:pStyle w:val="Compact"/>
              <w:jc w:val="left"/>
            </w:pPr>
            <w:r>
              <w:t xml:space="preserve">Baobab Group [PRIVATE, DFI-backed]</w:t>
            </w:r>
          </w:p>
        </w:tc>
        <w:tc>
          <w:tcPr/>
          <w:p>
            <w:pPr>
              <w:pStyle w:val="Compact"/>
              <w:jc w:val="left"/>
            </w:pPr>
            <w:r>
              <w:t xml:space="preserve">7 African countries; 650,000+ customers</w:t>
            </w:r>
          </w:p>
        </w:tc>
        <w:tc>
          <w:tcPr/>
          <w:p>
            <w:pPr>
              <w:pStyle w:val="Compact"/>
              <w:jc w:val="left"/>
            </w:pPr>
            <w:r>
              <w:t xml:space="preserve">Digital microfinance, micro-enterprise lending</w:t>
            </w:r>
          </w:p>
        </w:tc>
        <w:tc>
          <w:tcPr/>
          <w:p>
            <w:pPr>
              <w:pStyle w:val="Compact"/>
              <w:jc w:val="left"/>
            </w:pPr>
            <w:r>
              <w:t xml:space="preserve">Private; IFC ($47.5M facility 2023), Gojo, IFU, AfricInvest backing</w:t>
            </w:r>
          </w:p>
        </w:tc>
        <w:tc>
          <w:tcPr/>
          <w:p>
            <w:pPr>
              <w:pStyle w:val="Compact"/>
              <w:jc w:val="left"/>
            </w:pPr>
            <w:r>
              <w:t xml:space="preserve">Include as commercial microfinance option with DFI-subsidy noted</w:t>
            </w:r>
          </w:p>
        </w:tc>
      </w:tr>
      <w:tr>
        <w:tc>
          <w:tcPr/>
          <w:p>
            <w:pPr>
              <w:pStyle w:val="Compact"/>
              <w:jc w:val="left"/>
            </w:pPr>
            <w:r>
              <w:t xml:space="preserve">5</w:t>
            </w:r>
          </w:p>
        </w:tc>
        <w:tc>
          <w:tcPr/>
          <w:p>
            <w:pPr>
              <w:pStyle w:val="Compact"/>
              <w:jc w:val="left"/>
            </w:pPr>
            <w:r>
              <w:t xml:space="preserve">Advans Group [PRIVATE, DFI-owned]</w:t>
            </w:r>
          </w:p>
        </w:tc>
        <w:tc>
          <w:tcPr/>
          <w:p>
            <w:pPr>
              <w:pStyle w:val="Compact"/>
              <w:jc w:val="left"/>
            </w:pPr>
            <w:r>
              <w:t xml:space="preserve">6 African countries; 125+ branches; 735,000+ clients</w:t>
            </w:r>
          </w:p>
        </w:tc>
        <w:tc>
          <w:tcPr/>
          <w:p>
            <w:pPr>
              <w:pStyle w:val="Compact"/>
              <w:jc w:val="left"/>
            </w:pPr>
            <w:r>
              <w:t xml:space="preserve">SME/farmer lending (46% of loan volume rural)</w:t>
            </w:r>
          </w:p>
        </w:tc>
        <w:tc>
          <w:tcPr/>
          <w:p>
            <w:pPr>
              <w:pStyle w:val="Compact"/>
              <w:jc w:val="left"/>
            </w:pPr>
            <w:r>
              <w:t xml:space="preserve">Private; owned by EIB, FMO, BII, IFC, KfW, FISEA/AFD</w:t>
            </w:r>
          </w:p>
        </w:tc>
        <w:tc>
          <w:tcPr/>
          <w:p>
            <w:pPr>
              <w:pStyle w:val="Compact"/>
              <w:jc w:val="left"/>
            </w:pPr>
            <w:r>
              <w:t xml:space="preserve">Rural-leaning microfinance; DFI ownership makes it acceptable</w:t>
            </w:r>
          </w:p>
        </w:tc>
      </w:tr>
    </w:tbl>
    <w:bookmarkEnd w:id="31"/>
    <w:bookmarkStart w:id="32" w:name="f-water-irrigation"/>
    <w:p>
      <w:pPr>
        <w:pStyle w:val="Heading3"/>
      </w:pPr>
      <w:r>
        <w:t xml:space="preserve">(f) Water &amp; irrigation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Org</w:t>
            </w:r>
          </w:p>
        </w:tc>
        <w:tc>
          <w:tcPr/>
          <w:p>
            <w:pPr>
              <w:pStyle w:val="Compact"/>
              <w:jc w:val="left"/>
            </w:pPr>
            <w:r>
              <w:t xml:space="preserve">Footprint</w:t>
            </w:r>
          </w:p>
        </w:tc>
        <w:tc>
          <w:tcPr/>
          <w:p>
            <w:pPr>
              <w:pStyle w:val="Compact"/>
              <w:jc w:val="left"/>
            </w:pPr>
            <w:r>
              <w:t xml:space="preserve">Hub-level contribution</w:t>
            </w:r>
          </w:p>
        </w:tc>
        <w:tc>
          <w:tcPr/>
          <w:p>
            <w:pPr>
              <w:pStyle w:val="Compact"/>
              <w:jc w:val="left"/>
            </w:pPr>
            <w:r>
              <w:t xml:space="preserve">Funding model</w:t>
            </w:r>
          </w:p>
        </w:tc>
        <w:tc>
          <w:tcPr/>
          <w:p>
            <w:pPr>
              <w:pStyle w:val="Compact"/>
              <w:jc w:val="left"/>
            </w:pPr>
            <w:r>
              <w:t xml:space="preserve">Fit</w:t>
            </w:r>
          </w:p>
        </w:tc>
      </w:tr>
      <w:tr>
        <w:tc>
          <w:tcPr/>
          <w:p>
            <w:pPr>
              <w:pStyle w:val="Compact"/>
              <w:jc w:val="left"/>
            </w:pPr>
            <w:r>
              <w:t xml:space="preserve">1</w:t>
            </w:r>
          </w:p>
        </w:tc>
        <w:tc>
          <w:tcPr/>
          <w:p>
            <w:pPr>
              <w:pStyle w:val="Compact"/>
              <w:jc w:val="left"/>
            </w:pPr>
            <w:r>
              <w:t xml:space="preserve">KickStart International</w:t>
            </w:r>
          </w:p>
        </w:tc>
        <w:tc>
          <w:tcPr/>
          <w:p>
            <w:pPr>
              <w:pStyle w:val="Compact"/>
              <w:jc w:val="left"/>
            </w:pPr>
            <w:r>
              <w:t xml:space="preserve">16–17 African countries; hubs in Kenya/Nigeria/Zambia; 400+ shops + 25 distributors</w:t>
            </w:r>
          </w:p>
        </w:tc>
        <w:tc>
          <w:tcPr/>
          <w:p>
            <w:pPr>
              <w:pStyle w:val="Compact"/>
              <w:jc w:val="left"/>
            </w:pPr>
            <w:r>
              <w:t xml:space="preserve">MoneyMaker irrigation pumps, farmer training, existing MFI pump-finance overlay</w:t>
            </w:r>
          </w:p>
        </w:tc>
        <w:tc>
          <w:tcPr/>
          <w:p>
            <w:pPr>
              <w:pStyle w:val="Compact"/>
              <w:jc w:val="left"/>
            </w:pPr>
            <w:r>
              <w:t xml:space="preserve">Non-profit social enterprise; donor-subsidised</w:t>
            </w:r>
          </w:p>
        </w:tc>
        <w:tc>
          <w:tcPr/>
          <w:p>
            <w:pPr>
              <w:pStyle w:val="Compact"/>
              <w:jc w:val="left"/>
            </w:pPr>
            <w:r>
              <w:t xml:space="preserve">Best water-vertical fit; already runs an MFI overlay model</w:t>
            </w:r>
          </w:p>
        </w:tc>
      </w:tr>
      <w:tr>
        <w:tc>
          <w:tcPr/>
          <w:p>
            <w:pPr>
              <w:pStyle w:val="Compact"/>
              <w:jc w:val="left"/>
            </w:pPr>
            <w:r>
              <w:t xml:space="preserve">2</w:t>
            </w:r>
          </w:p>
        </w:tc>
        <w:tc>
          <w:tcPr/>
          <w:p>
            <w:pPr>
              <w:pStyle w:val="Compact"/>
              <w:jc w:val="left"/>
            </w:pPr>
            <w:r>
              <w:t xml:space="preserve">iDE</w:t>
            </w:r>
          </w:p>
        </w:tc>
        <w:tc>
          <w:tcPr/>
          <w:p>
            <w:pPr>
              <w:pStyle w:val="Compact"/>
              <w:jc w:val="left"/>
            </w:pPr>
            <w:r>
              <w:t xml:space="preserve">5–6 African countries (Ethiopia, Ghana, Kenya, Madagascar, Mozambique, Zambia)</w:t>
            </w:r>
          </w:p>
        </w:tc>
        <w:tc>
          <w:tcPr/>
          <w:p>
            <w:pPr>
              <w:pStyle w:val="Compact"/>
              <w:jc w:val="left"/>
            </w:pPr>
            <w:r>
              <w:t xml:space="preserve">Market-based irrigation supply chains (treadle/drip/solar pumps), WASH, agri-finance</w:t>
            </w:r>
          </w:p>
        </w:tc>
        <w:tc>
          <w:tcPr/>
          <w:p>
            <w:pPr>
              <w:pStyle w:val="Compact"/>
              <w:jc w:val="left"/>
            </w:pPr>
            <w:r>
              <w:t xml:space="preserve">Non-profit; market-based; Gates/Acumen-backed</w:t>
            </w:r>
          </w:p>
        </w:tc>
        <w:tc>
          <w:tcPr/>
          <w:p>
            <w:pPr>
              <w:pStyle w:val="Compact"/>
              <w:jc w:val="left"/>
            </w:pPr>
            <w:r>
              <w:t xml:space="preserve">Strong overlay fit; narrower footprint</w:t>
            </w:r>
          </w:p>
        </w:tc>
      </w:tr>
      <w:tr>
        <w:tc>
          <w:tcPr/>
          <w:p>
            <w:pPr>
              <w:pStyle w:val="Compact"/>
              <w:jc w:val="left"/>
            </w:pPr>
            <w:r>
              <w:t xml:space="preserve">3</w:t>
            </w:r>
          </w:p>
        </w:tc>
        <w:tc>
          <w:tcPr/>
          <w:p>
            <w:pPr>
              <w:pStyle w:val="Compact"/>
              <w:jc w:val="left"/>
            </w:pPr>
            <w:r>
              <w:t xml:space="preserve">IFAD (smallholder irrigation programs)</w:t>
            </w:r>
          </w:p>
        </w:tc>
        <w:tc>
          <w:tcPr/>
          <w:p>
            <w:pPr>
              <w:pStyle w:val="Compact"/>
              <w:jc w:val="left"/>
            </w:pPr>
            <w:r>
              <w:t xml:space="preserve">92 countries; two African regional divisions; PASIDP, SIRP, etc.</w:t>
            </w:r>
          </w:p>
        </w:tc>
        <w:tc>
          <w:tcPr/>
          <w:p>
            <w:pPr>
              <w:pStyle w:val="Compact"/>
              <w:jc w:val="left"/>
            </w:pPr>
            <w:r>
              <w:t xml:space="preserve">Finances/co-funds government irrigation schemes; water-user associations</w:t>
            </w:r>
          </w:p>
        </w:tc>
        <w:tc>
          <w:tcPr/>
          <w:p>
            <w:pPr>
              <w:pStyle w:val="Compact"/>
              <w:jc w:val="left"/>
            </w:pPr>
            <w:r>
              <w:t xml:space="preserve">UN IFI; sovereign co-financed loans + grants</w:t>
            </w:r>
          </w:p>
        </w:tc>
        <w:tc>
          <w:tcPr/>
          <w:p>
            <w:pPr>
              <w:pStyle w:val="Compact"/>
              <w:jc w:val="left"/>
            </w:pPr>
            <w:r>
              <w:t xml:space="preserve">Best as a capital/policy anchor, not a field operator</w:t>
            </w:r>
          </w:p>
        </w:tc>
      </w:tr>
      <w:tr>
        <w:tc>
          <w:tcPr/>
          <w:p>
            <w:pPr>
              <w:pStyle w:val="Compact"/>
              <w:jc w:val="left"/>
            </w:pPr>
            <w:r>
              <w:t xml:space="preserve">4</w:t>
            </w:r>
          </w:p>
        </w:tc>
        <w:tc>
          <w:tcPr/>
          <w:p>
            <w:pPr>
              <w:pStyle w:val="Compact"/>
              <w:jc w:val="left"/>
            </w:pPr>
            <w:r>
              <w:t xml:space="preserve">IWMI</w:t>
            </w:r>
          </w:p>
        </w:tc>
        <w:tc>
          <w:tcPr/>
          <w:p>
            <w:pPr>
              <w:pStyle w:val="Compact"/>
              <w:jc w:val="left"/>
            </w:pPr>
            <w:r>
              <w:t xml:space="preserve">17 offices; 55+ countries; African offices in Pretoria/Accra/Addis/Cairo</w:t>
            </w:r>
          </w:p>
        </w:tc>
        <w:tc>
          <w:tcPr/>
          <w:p>
            <w:pPr>
              <w:pStyle w:val="Compact"/>
              <w:jc w:val="left"/>
            </w:pPr>
            <w:r>
              <w:t xml:space="preserve">Water-resource science, site selection, business-model testing</w:t>
            </w:r>
          </w:p>
        </w:tc>
        <w:tc>
          <w:tcPr/>
          <w:p>
            <w:pPr>
              <w:pStyle w:val="Compact"/>
              <w:jc w:val="left"/>
            </w:pPr>
            <w:r>
              <w:t xml:space="preserve">CGIAR non-profit; grant-funded</w:t>
            </w:r>
          </w:p>
        </w:tc>
        <w:tc>
          <w:tcPr/>
          <w:p>
            <w:pPr>
              <w:pStyle w:val="Compact"/>
              <w:jc w:val="left"/>
            </w:pPr>
            <w:r>
              <w:t xml:space="preserve">Technical/knowledge partner only</w:t>
            </w:r>
          </w:p>
        </w:tc>
      </w:tr>
      <w:tr>
        <w:tc>
          <w:tcPr/>
          <w:p>
            <w:pPr>
              <w:pStyle w:val="Compact"/>
              <w:jc w:val="left"/>
            </w:pPr>
            <w:r>
              <w:t xml:space="preserve">5</w:t>
            </w:r>
          </w:p>
        </w:tc>
        <w:tc>
          <w:tcPr/>
          <w:p>
            <w:pPr>
              <w:pStyle w:val="Compact"/>
              <w:jc w:val="left"/>
            </w:pPr>
            <w:r>
              <w:t xml:space="preserve">Water.org / WaterAid</w:t>
            </w:r>
          </w:p>
        </w:tc>
        <w:tc>
          <w:tcPr/>
          <w:p>
            <w:pPr>
              <w:pStyle w:val="Compact"/>
              <w:jc w:val="left"/>
            </w:pPr>
            <w:r>
              <w:t xml:space="preserve">Water.org 15 countries; WaterAid ~30 countries</w:t>
            </w:r>
          </w:p>
        </w:tc>
        <w:tc>
          <w:tcPr/>
          <w:p>
            <w:pPr>
              <w:pStyle w:val="Compact"/>
              <w:jc w:val="left"/>
            </w:pPr>
            <w:r>
              <w:t xml:space="preserve">WASH (drinking water/sanitation); Water.org’s WaterCredit MFI model transferable</w:t>
            </w:r>
          </w:p>
        </w:tc>
        <w:tc>
          <w:tcPr/>
          <w:p>
            <w:pPr>
              <w:pStyle w:val="Compact"/>
              <w:jc w:val="left"/>
            </w:pPr>
            <w:r>
              <w:t xml:space="preserve">Non-profit; donation/grant funded</w:t>
            </w:r>
          </w:p>
        </w:tc>
        <w:tc>
          <w:tcPr/>
          <w:p>
            <w:pPr>
              <w:pStyle w:val="Compact"/>
              <w:jc w:val="left"/>
            </w:pPr>
            <w:r>
              <w:t xml:space="preserve">WASH not irrigation; moderate fit</w:t>
            </w:r>
          </w:p>
        </w:tc>
      </w:tr>
      <w:tr>
        <w:tc>
          <w:tcPr/>
          <w:p>
            <w:pPr>
              <w:pStyle w:val="Compact"/>
              <w:jc w:val="left"/>
            </w:pPr>
            <w:r>
              <w:t xml:space="preserve">6</w:t>
            </w:r>
          </w:p>
        </w:tc>
        <w:tc>
          <w:tcPr/>
          <w:p>
            <w:pPr>
              <w:pStyle w:val="Compact"/>
              <w:jc w:val="left"/>
            </w:pPr>
            <w:r>
              <w:t xml:space="preserve">SunCulture [PRIVATE, heavily DFI/carbon-subsidised]</w:t>
            </w:r>
          </w:p>
        </w:tc>
        <w:tc>
          <w:tcPr/>
          <w:p>
            <w:pPr>
              <w:pStyle w:val="Compact"/>
              <w:jc w:val="left"/>
            </w:pPr>
            <w:r>
              <w:t xml:space="preserve">Kenya core + Uganda, Cote d’Ivoire; distribution in Ethiopia, Zambia, Togo; 45,000+ farmers</w:t>
            </w:r>
          </w:p>
        </w:tc>
        <w:tc>
          <w:tcPr/>
          <w:p>
            <w:pPr>
              <w:pStyle w:val="Compact"/>
              <w:jc w:val="left"/>
            </w:pPr>
            <w:r>
              <w:t xml:space="preserve">Solar-powered pumps + drip irrigation, IoT, Pay-As-You-Grow finance</w:t>
            </w:r>
          </w:p>
        </w:tc>
        <w:tc>
          <w:tcPr/>
          <w:p>
            <w:pPr>
              <w:pStyle w:val="Compact"/>
              <w:jc w:val="left"/>
            </w:pPr>
            <w:r>
              <w:t xml:space="preserve">Private; BII + Shell Foundation carbon pilot cutting upfront cost 25–40%; also Mirova, EEGF, Acumen, InfraCo, USAID Power Africa</w:t>
            </w:r>
          </w:p>
        </w:tc>
        <w:tc>
          <w:tcPr/>
          <w:p>
            <w:pPr>
              <w:pStyle w:val="Compact"/>
              <w:jc w:val="left"/>
            </w:pPr>
            <w:r>
              <w:t xml:space="preserve">Highest energy synergy but private + subsidy-dependent; include with caveat</w:t>
            </w:r>
          </w:p>
        </w:tc>
      </w:tr>
    </w:tbl>
    <w:bookmarkEnd w:id="32"/>
    <w:bookmarkStart w:id="33" w:name="cross-cutting-partner-undp"/>
    <w:p>
      <w:pPr>
        <w:pStyle w:val="Heading3"/>
      </w:pPr>
      <w:r>
        <w:t xml:space="preserve">Cross-cutting partner: UNDP</w:t>
      </w:r>
    </w:p>
    <w:p>
      <w:pPr>
        <w:pStyle w:val="FirstParagraph"/>
      </w:pPr>
      <w:r>
        <w:t xml:space="preserve">UNDP operates in virtually every African country and has historically co-funded the Songhai model and rural entrepreneurship programs in Benin. Best used as a cross-cutting convener/co-funder and government-relations channel rather than a single-vertical operator.</w:t>
      </w:r>
    </w:p>
    <w:bookmarkEnd w:id="33"/>
    <w:bookmarkStart w:id="34" w:name="confidence-data-gaps-deliverable-2"/>
    <w:p>
      <w:pPr>
        <w:pStyle w:val="Heading3"/>
      </w:pPr>
      <w:r>
        <w:t xml:space="preserve">Confidence &amp; data gaps – Deliverable 2</w:t>
      </w:r>
    </w:p>
    <w:p>
      <w:pPr>
        <w:pStyle w:val="FirstParagraph"/>
      </w:pPr>
      <w:r>
        <w:t xml:space="preserve">Footprint counts for Ecobank (35 vs 36 countries across sources; the Pitchbook figure of 35 is the most recent and specific), Amref (35+ countries), WFP warehouses (~600), and the microfinance/water players carry minor cross-source discrepancies flagged above (e.g., KickStart 16 vs 17 countries; iDE 5 vs 6 African countries; Baobab 7 vs 9; Advans historical 9–10 figures include divested Asian units – current African count is 6). The AU Pan-African e-Network’s current operational status is uncertain – India/TCIL handed it to the AU in 2017 and Senegal now funds it; confirm it is live before relying on it. SunCulture, Baobab and Advans are private-sector and included only on the strength of their explicit DFI/concessional funding. Farmer Field School counts per country were not individually verified and should be confirmed with FAO country offices. AFRACA’s current member count could not be reliably confirmed and should be verified directly.</w:t>
      </w:r>
    </w:p>
    <w:p>
      <w:r>
        <w:pict>
          <v:rect style="width:0;height:1.5pt" o:hralign="center" o:hrstd="t" o:hr="t"/>
        </w:pict>
      </w:r>
    </w:p>
    <w:bookmarkEnd w:id="34"/>
    <w:bookmarkEnd w:id="35"/>
    <w:bookmarkStart w:id="36" w:name="recommendations"/>
    <w:p>
      <w:pPr>
        <w:pStyle w:val="Heading2"/>
      </w:pPr>
      <w:r>
        <w:t xml:space="preserve">Recommendations</w:t>
      </w:r>
    </w:p>
    <w:p>
      <w:pPr>
        <w:numPr>
          <w:ilvl w:val="0"/>
          <w:numId w:val="1002"/>
        </w:numPr>
        <w:pStyle w:val="Compact"/>
      </w:pPr>
      <w:r>
        <w:rPr>
          <w:bCs/>
          <w:b/>
        </w:rPr>
        <w:t xml:space="preserve">Anchor the pilot cluster in Burundi first</w:t>
      </w:r>
      <w:r>
        <w:t xml:space="preserve">, using the AAICE 2026 platform (Bujumbura, Aug 2026) to sign MoUs with CEFORE-RUSI (large campus, AfDB kit), YAIN and BBIN, plus AAIN’s secretariat – this aligns the continental HQ, the conference and the host government in one move. Benchmark to advance: at least one signed collaboration agreement and a site survey of the 142-hectare Karuzi campus.</w:t>
      </w:r>
    </w:p>
    <w:p>
      <w:pPr>
        <w:numPr>
          <w:ilvl w:val="0"/>
          <w:numId w:val="1002"/>
        </w:numPr>
        <w:pStyle w:val="Compact"/>
      </w:pPr>
      <w:r>
        <w:rPr>
          <w:bCs/>
          <w:b/>
        </w:rPr>
        <w:t xml:space="preserve">Sign Songhai Centre and IITA-BIP as the first two multi-country</w:t>
      </w:r>
      <w:r>
        <w:rPr>
          <w:bCs/>
          <w:b/>
        </w:rPr>
        <w:t xml:space="preserve"> </w:t>
      </w:r>
      <w:r>
        <w:rPr>
          <w:bCs/>
          <w:b/>
        </w:rPr>
        <w:t xml:space="preserve">“</w:t>
      </w:r>
      <w:r>
        <w:rPr>
          <w:bCs/>
          <w:b/>
        </w:rPr>
        <w:t xml:space="preserve">wheels</w:t>
      </w:r>
      <w:r>
        <w:rPr>
          <w:bCs/>
          <w:b/>
        </w:rPr>
        <w:t xml:space="preserve">”</w:t>
      </w:r>
      <w:r>
        <w:t xml:space="preserve"> </w:t>
      </w:r>
      <w:r>
        <w:t xml:space="preserve">– Songhai for West Africa (Benin/Nigeria) and IITA’s Kinshasa hub as the DRC/Central Africa entry point, deliberately pairing a very-large/low-access market (DRC, 19% electrification, &lt;2% rural) with a denser one (Kenya via KCIC). Threshold: confirm at least 3 usable physical sites per partner with staff and power-siting suitability.</w:t>
      </w:r>
    </w:p>
    <w:p>
      <w:pPr>
        <w:numPr>
          <w:ilvl w:val="0"/>
          <w:numId w:val="1002"/>
        </w:numPr>
        <w:pStyle w:val="Compact"/>
      </w:pPr>
      <w:r>
        <w:rPr>
          <w:bCs/>
          <w:b/>
        </w:rPr>
        <w:t xml:space="preserve">Lock one NGO/multilateral pillar per vertical before adding any private player:</w:t>
      </w:r>
      <w:r>
        <w:t xml:space="preserve"> </w:t>
      </w:r>
      <w:r>
        <w:t xml:space="preserve">FAO/AGRA (agri), WFP (logistics), IFRC + Amref (health), RUFORUM + a reactivated AU e-Network (education), KickStart/iDE (water). Add Ecobank as the finance pillar given its unmatched agent network. Threshold to add a private player (SunCulture/Baobab/Advans): documented concessional/DFI funding covering at least 25% of deployment cost.</w:t>
      </w:r>
    </w:p>
    <w:p>
      <w:pPr>
        <w:numPr>
          <w:ilvl w:val="0"/>
          <w:numId w:val="1002"/>
        </w:numPr>
        <w:pStyle w:val="Compact"/>
      </w:pPr>
      <w:r>
        <w:rPr>
          <w:bCs/>
          <w:b/>
        </w:rPr>
        <w:t xml:space="preserve">Obtain AAIN’s member directory and AAICE participant lists</w:t>
      </w:r>
      <w:r>
        <w:t xml:space="preserve"> </w:t>
      </w:r>
      <w:r>
        <w:t xml:space="preserve">to convert Tier-3</w:t>
      </w:r>
      <w:r>
        <w:t xml:space="preserve"> </w:t>
      </w:r>
      <w:r>
        <w:t xml:space="preserve">“</w:t>
      </w:r>
      <w:r>
        <w:t xml:space="preserve">requires verification</w:t>
      </w:r>
      <w:r>
        <w:t xml:space="preserve">”</w:t>
      </w:r>
      <w:r>
        <w:t xml:space="preserve"> </w:t>
      </w:r>
      <w:r>
        <w:t xml:space="preserve">entries into ranked targets. Benchmark: a verified roster of 30+ members with footprint data within 60 days.</w:t>
      </w:r>
    </w:p>
    <w:p>
      <w:pPr>
        <w:numPr>
          <w:ilvl w:val="0"/>
          <w:numId w:val="1002"/>
        </w:numPr>
        <w:pStyle w:val="Compact"/>
      </w:pPr>
      <w:r>
        <w:rPr>
          <w:bCs/>
          <w:b/>
        </w:rPr>
        <w:t xml:space="preserve">Re-test country sequencing against verified electrification data</w:t>
      </w:r>
      <w:r>
        <w:t xml:space="preserve">, not Mission 300 headline numbers. If a target country’s real last-mile access is materially higher than assumed (as ODI found for Tanzania’s 99.9% village electrification), reprioritize toward genuinely low-access markets like DRC.</w:t>
      </w:r>
    </w:p>
    <w:bookmarkEnd w:id="36"/>
    <w:bookmarkStart w:id="37" w:name="caveats"/>
    <w:p>
      <w:pPr>
        <w:pStyle w:val="Heading2"/>
      </w:pPr>
      <w:r>
        <w:t xml:space="preserve">Caveats</w:t>
      </w:r>
    </w:p>
    <w:p>
      <w:pPr>
        <w:numPr>
          <w:ilvl w:val="0"/>
          <w:numId w:val="1003"/>
        </w:numPr>
        <w:pStyle w:val="Compact"/>
      </w:pPr>
      <w:r>
        <w:t xml:space="preserve">AAIN’s convening credibility is high; its own last-mile physical infrastructure is limited – the model’s success depends on member incubators, not AAIN itself.</w:t>
      </w:r>
    </w:p>
    <w:p>
      <w:pPr>
        <w:numPr>
          <w:ilvl w:val="0"/>
          <w:numId w:val="1003"/>
        </w:numPr>
        <w:pStyle w:val="Compact"/>
      </w:pPr>
      <w:r>
        <w:t xml:space="preserve">Member-level footprint data is largely non-public; all Tier-3 rankings are provisional pending AAIN verification.</w:t>
      </w:r>
    </w:p>
    <w:p>
      <w:pPr>
        <w:numPr>
          <w:ilvl w:val="0"/>
          <w:numId w:val="1003"/>
        </w:numPr>
        <w:pStyle w:val="Compact"/>
      </w:pPr>
      <w:r>
        <w:t xml:space="preserve">Mission 300 progress figures are contested (ODI); treat national electrification rates as directional and verify against primary utility data before committing capital.</w:t>
      </w:r>
    </w:p>
    <w:p>
      <w:pPr>
        <w:numPr>
          <w:ilvl w:val="0"/>
          <w:numId w:val="1003"/>
        </w:numPr>
        <w:pStyle w:val="Compact"/>
      </w:pPr>
      <w:r>
        <w:t xml:space="preserve">Private-sector pillar candidates are included strictly on their explicit subsidy/DFI backing and are marked [PRIVATE].</w:t>
      </w:r>
    </w:p>
    <w:p>
      <w:pPr>
        <w:numPr>
          <w:ilvl w:val="0"/>
          <w:numId w:val="1003"/>
        </w:numPr>
        <w:pStyle w:val="Compact"/>
      </w:pPr>
      <w:r>
        <w:t xml:space="preserve">The AU Pan-African e-Network may be dormant; verify it is operational before designing tele-health/tele-education around it.</w:t>
      </w:r>
    </w:p>
    <w:p>
      <w:pPr>
        <w:numPr>
          <w:ilvl w:val="0"/>
          <w:numId w:val="1003"/>
        </w:numPr>
        <w:pStyle w:val="Compact"/>
      </w:pPr>
      <w:r>
        <w:t xml:space="preserve">Several footprint counts carry minor cross-source discrepancies, flagged inline; where a range is given, the more recent/specific figure is preferred.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2026-08-07T02:26:47Z</dcterms:created>
  <dcterms:modified xsi:type="dcterms:W3CDTF">2026-08-07T02:26:47Z</dcterms:modified>
</cp:coreProperties>
</file>

<file path=docProps/custom.xml><?xml version="1.0" encoding="utf-8"?>
<Properties xmlns="http://schemas.openxmlformats.org/officeDocument/2006/custom-properties" xmlns:vt="http://schemas.openxmlformats.org/officeDocument/2006/docPropsVTypes"/>
</file>