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52"/>
          <w:szCs w:val="52"/>
        </w:rPr>
        <w:t xml:space="preserve">PURE Power Africa × AAIN</w:t>
      </w:r>
    </w:p>
    <w:p>
      <w:pPr>
        <w:spacing w:after="120"/>
      </w:pPr>
      <w:r>
        <w:rPr>
          <w:rFonts w:ascii="Calibri" w:cs="Calibri" w:eastAsia="Calibri" w:hAnsi="Calibri"/>
          <w:b/>
          <w:bCs/>
          <w:color w:val="2E6B4F"/>
          <w:sz w:val="28"/>
          <w:szCs w:val="28"/>
        </w:rPr>
        <w:t xml:space="preserve">A Continental Partnership for Agro-Energy Hubs</w:t>
      </w:r>
    </w:p>
    <w:p>
      <w:pPr>
        <w:spacing w:after="120"/>
      </w:pPr>
      <w:r>
        <w:rPr>
          <w:rFonts w:ascii="Calibri" w:cs="Calibri" w:eastAsia="Calibri" w:hAnsi="Calibri"/>
          <w:b/>
          <w:bCs/>
          <w:color w:val="5A5A5A"/>
          <w:sz w:val="17"/>
          <w:szCs w:val="17"/>
        </w:rPr>
        <w:t xml:space="preserve">WORKING PAPER   ·   AUGUST 2026   ·   FOR DISCUSSION WITHIN THE PARTNERSHIP</w:t>
      </w:r>
    </w:p>
    <w:p>
      <w:pPr>
        <w:spacing w:after="62" w:before="150"/>
      </w:pPr>
      <w:r>
        <w:rPr>
          <w:rFonts w:ascii="Calibri" w:cs="Calibri" w:eastAsia="Calibri" w:hAnsi="Calibri"/>
          <w:b/>
          <w:bCs/>
          <w:color w:val="2E6B4F"/>
          <w:sz w:val="24"/>
          <w:szCs w:val="24"/>
        </w:rPr>
        <w:t xml:space="preserve">Executive summary</w:t>
      </w:r>
    </w:p>
    <w:p>
      <w:pPr>
        <w:spacing w:after="88" w:line="234"/>
      </w:pPr>
      <w:r>
        <w:rPr>
          <w:rFonts w:ascii="Calibri" w:cs="Calibri" w:eastAsia="Calibri" w:hAnsi="Calibri"/>
          <w:color w:val="333333"/>
          <w:sz w:val="21"/>
          <w:szCs w:val="21"/>
        </w:rPr>
        <w:t xml:space="preserve">PURE Power Africa and the African Agribusiness Incubators Network (AAIN) signed a framework Memorandum of Understanding at AAICE 2026 in Bujumbura on August 6, 2026, with country MOUs already executed for Uganda and Nigeria. Together they are building one continental network of agro-energy hubs: PURE Power Africa brings the power, the logistics, the management and the operational anchor; AAIN brings what no energy company could build – an African-led, African-owned lattice of member incubators and enterprise-support organizations across a 54-country network, a technical partnership with the African Union Commission, and the trust of the agricultural communities the hubs exist to serve. Deployment follows a practicality-first sequence: entry wherever the network is strongest, funding is present, setup is fastest and governments and donors are ready to move – in overlapping waves rather than a long calendar – with the continental headquarters and train-the-trainers academy anchored in Bujumbura, in the launch year of Burundi’s Chairmanship of the African Union.</w:t>
      </w:r>
    </w:p>
    <w:p>
      <w:pPr>
        <w:spacing w:after="62" w:before="150"/>
      </w:pPr>
      <w:r>
        <w:rPr>
          <w:rFonts w:ascii="Calibri" w:cs="Calibri" w:eastAsia="Calibri" w:hAnsi="Calibri"/>
          <w:b/>
          <w:bCs/>
          <w:color w:val="2E6B4F"/>
          <w:sz w:val="24"/>
          <w:szCs w:val="24"/>
        </w:rPr>
        <w:t xml:space="preserve">Contents</w:t>
      </w:r>
    </w:p>
    <w:p>
      <w:pPr>
        <w:spacing w:after="88" w:line="234"/>
      </w:pPr>
      <w:r>
        <w:rPr>
          <w:rFonts w:ascii="Calibri" w:cs="Calibri" w:eastAsia="Calibri" w:hAnsi="Calibri"/>
          <w:color w:val="5A5A5A"/>
          <w:sz w:val="21"/>
          <w:szCs w:val="21"/>
        </w:rPr>
        <w:t xml:space="preserve">1. The partnership · 2. What the AAIN network brings · 3. The program in brief · 4. The continental headquarters · 5. Country sequencing – a practicality-first rollout · 6. Funding pathways and the country request playbook · 7. The African Union window · 8. Next steps</w:t>
      </w:r>
    </w:p>
    <w:p>
      <w:pPr>
        <w:spacing w:after="62" w:before="150"/>
      </w:pPr>
      <w:r>
        <w:rPr>
          <w:rFonts w:ascii="Calibri" w:cs="Calibri" w:eastAsia="Calibri" w:hAnsi="Calibri"/>
          <w:b/>
          <w:bCs/>
          <w:color w:val="2E6B4F"/>
          <w:sz w:val="24"/>
          <w:szCs w:val="24"/>
        </w:rPr>
        <w:t xml:space="preserve">1. The partnership</w:t>
      </w:r>
    </w:p>
    <w:p>
      <w:pPr>
        <w:spacing w:after="88" w:line="234"/>
      </w:pPr>
      <w:r>
        <w:rPr>
          <w:rFonts w:ascii="Calibri" w:cs="Calibri" w:eastAsia="Calibri" w:hAnsi="Calibri"/>
          <w:color w:val="333333"/>
          <w:sz w:val="21"/>
          <w:szCs w:val="21"/>
        </w:rPr>
        <w:t xml:space="preserve">The framework MOU establishes AAIN as the deployment backbone of PURE Power Africa’s four-tier architecture: country headquarters are formed through collaboration partnerships with AAIN member organizations; subregional wheels run on members’ existing branches and personnel, overlaid with program expertise and staffing; and the agro-energy hubs are built in sequential clusters, carrying services to the last mile. Country MOUs are executed for Uganda (with EHCAI, Mbarara) and Nigeria (with APDC, Abuja), and further country partnerships follow the same template.</w:t>
      </w:r>
    </w:p>
    <w:p>
      <w:pPr>
        <w:spacing w:after="62" w:before="150"/>
      </w:pPr>
      <w:r>
        <w:rPr>
          <w:rFonts w:ascii="Calibri" w:cs="Calibri" w:eastAsia="Calibri" w:hAnsi="Calibri"/>
          <w:b/>
          <w:bCs/>
          <w:color w:val="2E6B4F"/>
          <w:sz w:val="24"/>
          <w:szCs w:val="24"/>
        </w:rPr>
        <w:t xml:space="preserve">2. What the AAIN network brings</w:t>
      </w:r>
    </w:p>
    <w:p>
      <w:pPr>
        <w:spacing w:after="88" w:line="234"/>
      </w:pPr>
      <w:r>
        <w:rPr>
          <w:rFonts w:ascii="Calibri" w:cs="Calibri" w:eastAsia="Calibri" w:hAnsi="Calibri"/>
          <w:color w:val="333333"/>
          <w:sz w:val="21"/>
          <w:szCs w:val="21"/>
        </w:rPr>
        <w:t xml:space="preserve">AAIN’s members were built for what they do best – incubation, enterprise support, training and farmer reach – and that is exactly what the hubs need most. The network brings convening power and accreditation, the standing of a technical partner of the African Union Commission for incubation, affiliations with some 158 universities, and, through its members and affiliates, a physical presence in the field: incubation centers, demonstration farms, training campuses and branch offices. The program adds the energy layer, the equipment, the capital and the management overlay, so that members’ infrastructure and people are strengthened – with buildout funded over time as the program grows – rather than stretched. Anchor members and affiliates with multi-site footprints, such as Songhai Centre in Benin, the IITA Business Incubation Platform with its continental station network, and the Kenya Climate Innovation Center, illustrate how far the lattice already reaches.</w:t>
      </w:r>
    </w:p>
    <w:p>
      <w:pPr>
        <w:spacing w:after="62" w:before="150"/>
      </w:pPr>
      <w:r>
        <w:rPr>
          <w:rFonts w:ascii="Calibri" w:cs="Calibri" w:eastAsia="Calibri" w:hAnsi="Calibri"/>
          <w:b/>
          <w:bCs/>
          <w:color w:val="2E6B4F"/>
          <w:sz w:val="24"/>
          <w:szCs w:val="24"/>
        </w:rPr>
        <w:t xml:space="preserve">3. The program in brief</w:t>
      </w:r>
    </w:p>
    <w:p>
      <w:pPr>
        <w:spacing w:after="88" w:line="234"/>
      </w:pPr>
      <w:r>
        <w:rPr>
          <w:rFonts w:ascii="Calibri" w:cs="Calibri" w:eastAsia="Calibri" w:hAnsi="Calibri"/>
          <w:color w:val="333333"/>
          <w:sz w:val="21"/>
          <w:szCs w:val="21"/>
        </w:rPr>
        <w:t xml:space="preserve">The hubs are agro-energy hubs: the vast majority of activity runs through the agricultural value chain – irrigation, milling, cold chain, agri-processing – with e-mobility carrying produce to market and a circular economy returning briquettes, biogas and organic fertilizer to the farm. Around that core, the fragmented single-purpose programs – solar home systems, clean cookstoves, tele-education, tele-health – aggregate into one channel with long-term aftercare, unified KPIs and data gathering built in: one network instead of a thousand programs, in support of Mission 300 and the national energy compacts, and in service of all 17 Sustainable Development Goals.</w:t>
      </w:r>
    </w:p>
    <w:p>
      <w:pPr>
        <w:spacing w:after="62" w:before="150"/>
      </w:pPr>
      <w:r>
        <w:rPr>
          <w:rFonts w:ascii="Calibri" w:cs="Calibri" w:eastAsia="Calibri" w:hAnsi="Calibri"/>
          <w:b/>
          <w:bCs/>
          <w:color w:val="2E6B4F"/>
          <w:sz w:val="24"/>
          <w:szCs w:val="24"/>
        </w:rPr>
        <w:t xml:space="preserve">4. The continental headquarters</w:t>
      </w:r>
    </w:p>
    <w:p>
      <w:pPr>
        <w:spacing w:after="88" w:line="234"/>
      </w:pPr>
      <w:r>
        <w:rPr>
          <w:rFonts w:ascii="Calibri" w:cs="Calibri" w:eastAsia="Calibri" w:hAnsi="Calibri"/>
          <w:color w:val="333333"/>
          <w:sz w:val="21"/>
          <w:szCs w:val="21"/>
        </w:rPr>
        <w:t xml:space="preserve">The continental HQ stands in Bujumbura – alongside the principal headquarters of the Trade and Development Bank (TDB), at the heart of the continent and one border from the DRC. It carries the functions that concentrate best: direction and standards, aggregated procurement and vendor negotiation, template legal work, the multilateral financing seat, and KPIs and data for the whole network. Its operational campus and continental train-the-trainers academy are being established at the CEFORE-RUSI polytechnic center in Karuzi – a 142-hectare presidential-project campus already training in green energy, electromechanics and agropastoral production – which will serve as the first hub, the demonstration site and the training pipeline for every wave that follows, in cooperation with partners such as the TDB Academy and the AAIN mentor network.</w:t>
      </w:r>
    </w:p>
    <w:p>
      <w:pPr>
        <w:spacing w:after="62" w:before="150"/>
      </w:pPr>
      <w:r>
        <w:rPr>
          <w:rFonts w:ascii="Calibri" w:cs="Calibri" w:eastAsia="Calibri" w:hAnsi="Calibri"/>
          <w:b/>
          <w:bCs/>
          <w:color w:val="2E6B4F"/>
          <w:sz w:val="24"/>
          <w:szCs w:val="24"/>
        </w:rPr>
        <w:t xml:space="preserve">5. Country sequencing – a practicality-first rollout</w:t>
      </w:r>
    </w:p>
    <w:p>
      <w:pPr>
        <w:spacing w:after="88" w:line="234"/>
      </w:pPr>
      <w:r>
        <w:rPr>
          <w:rFonts w:ascii="Calibri" w:cs="Calibri" w:eastAsia="Calibri" w:hAnsi="Calibri"/>
          <w:color w:val="333333"/>
          <w:sz w:val="21"/>
          <w:szCs w:val="21"/>
        </w:rPr>
        <w:t xml:space="preserve">Sequencing is governed by practicality, not by calendar: entry happens wherever the AAIN network is strongest, funding is present or requestable, setup is fastest, governments and donors are able to work with the program, the need is greatest and the demonstration value is highest. Waves overlap; a country enters as soon as its gates are met; and with funding in place, staffing scales through partner organizations’ existing personnel and the train-the-trainers pipeline rather than through mass hiring.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c>
          <w:tcPr>
            <w:tcW w:type="dxa" w:w="1900"/>
            <w:tcBorders>
              <w:top w:val="single" w:color="C5CFDB" w:sz="4"/>
              <w:left w:val="single" w:color="C5CFDB" w:sz="4"/>
              <w:bottom w:val="single" w:color="C5CFDB" w:sz="4"/>
              <w:right w:val="single" w:color="C5CFDB" w:sz="4"/>
            </w:tcBorders>
            <w:shd w:fill="EDF1F6" w:val="clear"/>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Wave</w:t>
            </w:r>
          </w:p>
        </w:tc>
        <w:tc>
          <w:tcPr>
            <w:tcW w:type="dxa" w:w="3600"/>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Countries</w:t>
            </w:r>
          </w:p>
        </w:tc>
        <w:tc>
          <w:tcPr>
            <w:tcW w:type="dxa" w:w="4138"/>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Entry rationale</w:t>
            </w:r>
          </w:p>
        </w:tc>
      </w:tr>
      <w:tr>
        <w:tc>
          <w:tcPr>
            <w:tcW w:type="dxa" w:w="1900"/>
            <w:tcBorders>
              <w:top w:val="single" w:color="C5CFDB" w:sz="4"/>
              <w:left w:val="single" w:color="C5CFDB" w:sz="4"/>
              <w:bottom w:val="single" w:color="C5CFDB" w:sz="4"/>
              <w:right w:val="single" w:color="C5CFDB" w:sz="4"/>
            </w:tcBorders>
            <w:shd w:fill="EDF1F6" w:val="clear"/>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Wave 1 – now, first 9 months</w:t>
            </w:r>
          </w:p>
        </w:tc>
        <w:tc>
          <w:tcPr>
            <w:tcW w:type="dxa" w:w="3600"/>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Burundi (HQ and flagship), Uganda, Nigeria, DR Congo, Rwanda, Tanzania, Kenya, Ghana, Benin, Zambia</w:t>
            </w:r>
          </w:p>
        </w:tc>
        <w:tc>
          <w:tcPr>
            <w:tcW w:type="dxa" w:w="4138"/>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Framework and country MOUs in hand; the strongest member footprints; signed national energy compacts; direct reach from Bujumbura.</w:t>
            </w:r>
          </w:p>
        </w:tc>
      </w:tr>
      <w:tr>
        <w:tc>
          <w:tcPr>
            <w:tcW w:type="dxa" w:w="1900"/>
            <w:tcBorders>
              <w:top w:val="single" w:color="C5CFDB" w:sz="4"/>
              <w:left w:val="single" w:color="C5CFDB" w:sz="4"/>
              <w:bottom w:val="single" w:color="C5CFDB" w:sz="4"/>
              <w:right w:val="single" w:color="C5CFDB" w:sz="4"/>
            </w:tcBorders>
            <w:shd w:fill="EDF1F6" w:val="clear"/>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Wave 2 – months 6–18, overlapping</w:t>
            </w:r>
          </w:p>
        </w:tc>
        <w:tc>
          <w:tcPr>
            <w:tcW w:type="dxa" w:w="3600"/>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Ethiopia, Senegal, Mali, Côte d’Ivoire, Togo, Malawi, Mozambique, Cameroon, South Africa, and peers meeting the gates</w:t>
            </w:r>
          </w:p>
        </w:tc>
        <w:tc>
          <w:tcPr>
            <w:tcW w:type="dxa" w:w="4138"/>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Compacts signed; AAIN offices and national research-institute lattices in place; funding windows open.</w:t>
            </w:r>
          </w:p>
        </w:tc>
      </w:tr>
      <w:tr>
        <w:tc>
          <w:tcPr>
            <w:tcW w:type="dxa" w:w="1900"/>
            <w:tcBorders>
              <w:top w:val="single" w:color="C5CFDB" w:sz="4"/>
              <w:left w:val="single" w:color="C5CFDB" w:sz="4"/>
              <w:bottom w:val="single" w:color="C5CFDB" w:sz="4"/>
              <w:right w:val="single" w:color="C5CFDB" w:sz="4"/>
            </w:tcBorders>
            <w:shd w:fill="EDF1F6" w:val="clear"/>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Wave 3 – months 12–30</w:t>
            </w:r>
          </w:p>
        </w:tc>
        <w:tc>
          <w:tcPr>
            <w:tcW w:type="dxa" w:w="3600"/>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Remaining accessible countries, including North Africa in a productive-use and solar-irrigation configuration</w:t>
            </w:r>
          </w:p>
        </w:tc>
        <w:tc>
          <w:tcPr>
            <w:tcW w:type="dxa" w:w="4138"/>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Entry as gates are met – no calendar waiting.</w:t>
            </w:r>
          </w:p>
        </w:tc>
      </w:tr>
      <w:tr>
        <w:tc>
          <w:tcPr>
            <w:tcW w:type="dxa" w:w="1900"/>
            <w:tcBorders>
              <w:top w:val="single" w:color="C5CFDB" w:sz="4"/>
              <w:left w:val="single" w:color="C5CFDB" w:sz="4"/>
              <w:bottom w:val="single" w:color="C5CFDB" w:sz="4"/>
              <w:right w:val="single" w:color="C5CFDB" w:sz="4"/>
            </w:tcBorders>
            <w:shd w:fill="EDF1F6" w:val="clear"/>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Wave 4 – after the model is proven</w:t>
            </w:r>
          </w:p>
        </w:tc>
        <w:tc>
          <w:tcPr>
            <w:tcW w:type="dxa" w:w="3600"/>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Security-constrained markets (Sahel core, Sudan, South Sudan, Somalia, Libya, CAR)</w:t>
            </w:r>
          </w:p>
        </w:tc>
        <w:tc>
          <w:tcPr>
            <w:tcW w:type="dxa" w:w="4138"/>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Deployed last, through the partners best placed to operate there.</w:t>
            </w:r>
          </w:p>
        </w:tc>
      </w:tr>
    </w:tbl>
    <w:p>
      <w:pPr>
        <w:spacing w:after="62" w:before="150"/>
      </w:pPr>
      <w:r>
        <w:rPr>
          <w:rFonts w:ascii="Calibri" w:cs="Calibri" w:eastAsia="Calibri" w:hAnsi="Calibri"/>
          <w:b/>
          <w:bCs/>
          <w:color w:val="2E6B4F"/>
          <w:sz w:val="24"/>
          <w:szCs w:val="24"/>
        </w:rPr>
        <w:t xml:space="preserve">6. Funding pathways and the country request playbook</w:t>
      </w:r>
    </w:p>
    <w:p>
      <w:pPr>
        <w:spacing w:after="88" w:line="234"/>
      </w:pPr>
      <w:r>
        <w:rPr>
          <w:rFonts w:ascii="Calibri" w:cs="Calibri" w:eastAsia="Calibri" w:hAnsi="Calibri"/>
          <w:color w:val="333333"/>
          <w:sz w:val="21"/>
          <w:szCs w:val="21"/>
        </w:rPr>
        <w:t xml:space="preserve">The program is built to absorb large allocations responsibly, and many of the most powerful windows are opened by governments on request – often on joint request with an international bank. Burundi is establishing the template: the Segment’s inscription in the national energy compact and the ASCENT program, results-based windows through the regional ASCENT-REAF platform, AfDB’s SEFA, GEAPP (including its productive-use financing facility), and the catalytic window of RF Catalytic Capital. The partnership’s proposition to member countries is to replicate that playbook, with AAIN’s national lead members supporting their governments’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c>
          <w:tcPr>
            <w:tcW w:type="dxa" w:w="1900"/>
            <w:tcBorders>
              <w:top w:val="single" w:color="C5CFDB" w:sz="4"/>
              <w:left w:val="single" w:color="C5CFDB" w:sz="4"/>
              <w:bottom w:val="single" w:color="C5CFDB" w:sz="4"/>
              <w:right w:val="single" w:color="C5CFDB" w:sz="4"/>
            </w:tcBorders>
            <w:shd w:fill="EDF1F6" w:val="clear"/>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Country</w:t>
            </w:r>
          </w:p>
        </w:tc>
        <w:tc>
          <w:tcPr>
            <w:tcW w:type="dxa" w:w="3600"/>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Lead in the network</w:t>
            </w:r>
          </w:p>
        </w:tc>
        <w:tc>
          <w:tcPr>
            <w:tcW w:type="dxa" w:w="4138"/>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Route</w:t>
            </w:r>
          </w:p>
        </w:tc>
      </w:tr>
      <w:tr>
        <w:tc>
          <w:tcPr>
            <w:tcW w:type="dxa" w:w="1900"/>
            <w:tcBorders>
              <w:top w:val="single" w:color="C5CFDB" w:sz="4"/>
              <w:left w:val="single" w:color="C5CFDB" w:sz="4"/>
              <w:bottom w:val="single" w:color="C5CFDB" w:sz="4"/>
              <w:right w:val="single" w:color="C5CFDB" w:sz="4"/>
            </w:tcBorders>
            <w:shd w:fill="EDF1F6" w:val="clear"/>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Burundi</w:t>
            </w:r>
          </w:p>
        </w:tc>
        <w:tc>
          <w:tcPr>
            <w:tcW w:type="dxa" w:w="3600"/>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Program HQ with national institutions</w:t>
            </w:r>
          </w:p>
        </w:tc>
        <w:tc>
          <w:tcPr>
            <w:tcW w:type="dxa" w:w="4138"/>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Compact and ASCENT inscription; REAF results-based window; SEFA; GEAPP; RF Catalytic on joint government request.</w:t>
            </w:r>
          </w:p>
        </w:tc>
      </w:tr>
      <w:tr>
        <w:tc>
          <w:tcPr>
            <w:tcW w:type="dxa" w:w="1900"/>
            <w:tcBorders>
              <w:top w:val="single" w:color="C5CFDB" w:sz="4"/>
              <w:left w:val="single" w:color="C5CFDB" w:sz="4"/>
              <w:bottom w:val="single" w:color="C5CFDB" w:sz="4"/>
              <w:right w:val="single" w:color="C5CFDB" w:sz="4"/>
            </w:tcBorders>
            <w:shd w:fill="EDF1F6" w:val="clear"/>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Uganda</w:t>
            </w:r>
          </w:p>
        </w:tc>
        <w:tc>
          <w:tcPr>
            <w:tcW w:type="dxa" w:w="3600"/>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EHCAI (Mbarara), with AAIN Uganda</w:t>
            </w:r>
          </w:p>
        </w:tc>
        <w:tc>
          <w:tcPr>
            <w:tcW w:type="dxa" w:w="4138"/>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Compact signed 2026; replicate the joint-request route with government endorsement.</w:t>
            </w:r>
          </w:p>
        </w:tc>
      </w:tr>
      <w:tr>
        <w:tc>
          <w:tcPr>
            <w:tcW w:type="dxa" w:w="1900"/>
            <w:tcBorders>
              <w:top w:val="single" w:color="C5CFDB" w:sz="4"/>
              <w:left w:val="single" w:color="C5CFDB" w:sz="4"/>
              <w:bottom w:val="single" w:color="C5CFDB" w:sz="4"/>
              <w:right w:val="single" w:color="C5CFDB" w:sz="4"/>
            </w:tcBorders>
            <w:shd w:fill="EDF1F6" w:val="clear"/>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Nigeria</w:t>
            </w:r>
          </w:p>
        </w:tc>
        <w:tc>
          <w:tcPr>
            <w:tcW w:type="dxa" w:w="3600"/>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APDC (Abuja)</w:t>
            </w:r>
          </w:p>
        </w:tc>
        <w:tc>
          <w:tcPr>
            <w:tcW w:type="dxa" w:w="4138"/>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National DRE programs and compact framework; productive-use and results-based windows.</w:t>
            </w:r>
          </w:p>
        </w:tc>
      </w:tr>
      <w:tr>
        <w:tc>
          <w:tcPr>
            <w:tcW w:type="dxa" w:w="1900"/>
            <w:tcBorders>
              <w:top w:val="single" w:color="C5CFDB" w:sz="4"/>
              <w:left w:val="single" w:color="C5CFDB" w:sz="4"/>
              <w:bottom w:val="single" w:color="C5CFDB" w:sz="4"/>
              <w:right w:val="single" w:color="C5CFDB" w:sz="4"/>
            </w:tcBorders>
            <w:shd w:fill="EDF1F6" w:val="clear"/>
            <w:tcMar>
              <w:top w:type="dxa" w:w="56"/>
              <w:left w:type="dxa" w:w="120"/>
              <w:bottom w:type="dxa" w:w="56"/>
              <w:right w:type="dxa" w:w="120"/>
            </w:tcMar>
          </w:tcPr>
          <w:p>
            <w:pPr>
              <w:spacing w:after="0" w:line="220"/>
            </w:pPr>
            <w:r>
              <w:rPr>
                <w:rFonts w:ascii="Calibri" w:cs="Calibri" w:eastAsia="Calibri" w:hAnsi="Calibri"/>
                <w:b/>
                <w:bCs/>
                <w:color w:val="1F3A5F"/>
                <w:sz w:val="19"/>
                <w:szCs w:val="19"/>
              </w:rPr>
              <w:t xml:space="preserve">DR Congo</w:t>
            </w:r>
          </w:p>
        </w:tc>
        <w:tc>
          <w:tcPr>
            <w:tcW w:type="dxa" w:w="3600"/>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AAIN network with national research partners</w:t>
            </w:r>
          </w:p>
        </w:tc>
        <w:tc>
          <w:tcPr>
            <w:tcW w:type="dxa" w:w="4138"/>
            <w:tcBorders>
              <w:top w:val="single" w:color="C5CFDB" w:sz="4"/>
              <w:left w:val="single" w:color="C5CFDB" w:sz="4"/>
              <w:bottom w:val="single" w:color="C5CFDB" w:sz="4"/>
              <w:right w:val="single" w:color="C5CFDB" w:sz="4"/>
            </w:tcBorders>
            <w:tcMar>
              <w:top w:type="dxa" w:w="56"/>
              <w:left w:type="dxa" w:w="120"/>
              <w:bottom w:type="dxa" w:w="56"/>
              <w:right w:type="dxa" w:w="120"/>
            </w:tcMar>
          </w:tcPr>
          <w:p>
            <w:pPr>
              <w:spacing w:after="0" w:line="220"/>
            </w:pPr>
            <w:r>
              <w:rPr>
                <w:rFonts w:ascii="Calibri" w:cs="Calibri" w:eastAsia="Calibri" w:hAnsi="Calibri"/>
                <w:b w:val="false"/>
                <w:bCs w:val="false"/>
                <w:color w:val="333333"/>
                <w:sz w:val="19"/>
                <w:szCs w:val="19"/>
              </w:rPr>
              <w:t xml:space="preserve">Compact signed; the continent’s deepest access gap – the highest demonstration value.</w:t>
            </w:r>
          </w:p>
        </w:tc>
      </w:tr>
    </w:tbl>
    <w:p>
      <w:pPr>
        <w:spacing w:after="62" w:before="150"/>
      </w:pPr>
      <w:r>
        <w:rPr>
          <w:rFonts w:ascii="Calibri" w:cs="Calibri" w:eastAsia="Calibri" w:hAnsi="Calibri"/>
          <w:b/>
          <w:bCs/>
          <w:color w:val="2E6B4F"/>
          <w:sz w:val="24"/>
          <w:szCs w:val="24"/>
        </w:rPr>
        <w:t xml:space="preserve">7. The African Union window</w:t>
      </w:r>
    </w:p>
    <w:p>
      <w:pPr>
        <w:spacing w:after="88" w:line="234"/>
      </w:pPr>
      <w:r>
        <w:rPr>
          <w:rFonts w:ascii="Calibri" w:cs="Calibri" w:eastAsia="Calibri" w:hAnsi="Calibri"/>
          <w:color w:val="333333"/>
          <w:sz w:val="21"/>
          <w:szCs w:val="21"/>
        </w:rPr>
        <w:t xml:space="preserve">Burundi holds the Chairmanship of the African Union for 2026, whose theme is water security and sanitation – a theme the hubs serve directly through solar-powered irrigation and water pumping. The chairmanship opens head-of-state channels for the partnership’s country entries: the launch of a continental program, headquartered in the chair’s capital and delivered through an African Union Commission technical partner’s network, can be carried by the Chairperson to fellow heads of state as a continental offer, country by country.</w:t>
      </w:r>
    </w:p>
    <w:p>
      <w:pPr>
        <w:spacing w:after="62" w:before="150"/>
      </w:pPr>
      <w:r>
        <w:rPr>
          <w:rFonts w:ascii="Calibri" w:cs="Calibri" w:eastAsia="Calibri" w:hAnsi="Calibri"/>
          <w:b/>
          <w:bCs/>
          <w:color w:val="2E6B4F"/>
          <w:sz w:val="24"/>
          <w:szCs w:val="24"/>
        </w:rPr>
        <w:t xml:space="preserve">8. Next steps</w:t>
      </w:r>
    </w:p>
    <w:p>
      <w:pPr>
        <w:spacing w:after="88" w:line="234"/>
      </w:pPr>
      <w:r>
        <w:rPr>
          <w:rFonts w:ascii="Calibri" w:cs="Calibri" w:eastAsia="Calibri" w:hAnsi="Calibri"/>
          <w:color w:val="333333"/>
          <w:sz w:val="21"/>
          <w:szCs w:val="21"/>
        </w:rPr>
        <w:t xml:space="preserve">The immediate joint workstreams are: mapping the member directory against the program’s siting criteria to confirm the Wave 1 and Wave 2 lattice; extending the country MOU pipeline on the Uganda and Nigeria template; completing site surveys at the CEFORE-RUSI campus and the first cross-border satellites; and preparing the first joint funding requests under the country playbook, so that capital, partners and sites converge on the same timetable.</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PURE Power Africa · AAIN</w:t>
    </w:r>
    <w:r>
      <w:rPr>
        <w:rFonts w:ascii="Calibri" w:cs="Calibri" w:eastAsia="Calibri" w:hAnsi="Calibri"/>
        <w:color w:val="5A5A5A"/>
        <w:sz w:val="16"/>
        <w:szCs w:val="16"/>
      </w:rPr>
      <w:t xml:space="preserve">  ·  Partnership working paper – for discussion</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2026-08-07T02:45:27.417Z</dcterms:created>
  <dcterms:modified xsi:type="dcterms:W3CDTF">2026-08-07T02:45:27.417Z</dcterms:modified>
</cp:coreProperties>
</file>

<file path=docProps/custom.xml><?xml version="1.0" encoding="utf-8"?>
<Properties xmlns="http://schemas.openxmlformats.org/officeDocument/2006/custom-properties" xmlns:vt="http://schemas.openxmlformats.org/officeDocument/2006/docPropsVTypes"/>
</file>