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A5F"/>
          <w:sz w:val="52"/>
          <w:szCs w:val="52"/>
        </w:rPr>
        <w:t xml:space="preserve">PURE Power Africa</w:t>
      </w:r>
    </w:p>
    <w:p>
      <w:pPr>
        <w:spacing w:after="140"/>
      </w:pPr>
      <w:r>
        <w:rPr>
          <w:rFonts w:ascii="Calibri" w:cs="Calibri" w:eastAsia="Calibri" w:hAnsi="Calibri"/>
          <w:b/>
          <w:bCs/>
          <w:color w:val="2E6B4F"/>
          <w:sz w:val="28"/>
          <w:szCs w:val="28"/>
        </w:rPr>
        <w:t xml:space="preserve">The Continental Agro-Energy Hub Platform</w:t>
      </w:r>
    </w:p>
    <w:p>
      <w:pPr>
        <w:spacing w:after="120"/>
      </w:pPr>
      <w:r>
        <w:rPr>
          <w:rFonts w:ascii="Calibri" w:cs="Calibri" w:eastAsia="Calibri" w:hAnsi="Calibri"/>
          <w:b/>
          <w:bCs/>
          <w:color w:val="5A5A5A"/>
          <w:sz w:val="17"/>
          <w:szCs w:val="17"/>
        </w:rPr>
        <w:t xml:space="preserve">AGRO-ENERGY HUBS   ·   FOUR-TIER DEPLOYMENT   ·   PAN-AFRICAN PARTNERSHIPS   ·   PRODUCTIVE USES OF RENEWABLE ENERGY</w:t>
      </w:r>
    </w:p>
    <w:p>
      <w:pPr>
        <w:spacing w:after="118" w:line="238"/>
      </w:pPr>
      <w:r>
        <w:rPr>
          <w:rFonts w:ascii="Calibri" w:cs="Calibri" w:eastAsia="Calibri" w:hAnsi="Calibri"/>
          <w:i/>
          <w:iCs/>
          <w:color w:val="333333"/>
          <w:sz w:val="22"/>
          <w:szCs w:val="22"/>
        </w:rPr>
        <w:t xml:space="preserve">Africa’s last-mile energy gap is, above all, an organization, management and logistics problem. PURE Power Africa solves it by overlaying one agro-energy hub platform onto the institutional infrastructure the continent already has.</w:t>
      </w:r>
    </w:p>
    <w:p>
      <w:pPr>
        <w:spacing w:after="90" w:line="238"/>
      </w:pPr>
      <w:r>
        <w:rPr>
          <w:rFonts w:ascii="Calibri" w:cs="Calibri" w:eastAsia="Calibri" w:hAnsi="Calibri"/>
          <w:color w:val="333333"/>
          <w:sz w:val="21"/>
          <w:szCs w:val="21"/>
        </w:rPr>
        <w:t xml:space="preserve">PURE Power Africa is a continental agro-energy hub platform led by a proven development team – first to market in renewable energy development in several African markets. It is one wheel-and-spoke architecture repeated at four levels. A continental headquarters in Burundi – the program’s first market of deployment, and holder of the African Union Chairmanship for the 2026 launch year – sets overall organization, management and direction. Country HQs, established through collaboration partnerships with the member organizations of the </w:t>
      </w:r>
      <w:r>
        <w:rPr>
          <w:rFonts w:ascii="Calibri" w:cs="Calibri" w:eastAsia="Calibri" w:hAnsi="Calibri"/>
          <w:b/>
          <w:bCs/>
          <w:color w:val="333333"/>
          <w:sz w:val="21"/>
          <w:szCs w:val="21"/>
        </w:rPr>
        <w:t xml:space="preserve">African Agribusiness Incubators Network (AAIN)</w:t>
      </w:r>
      <w:r>
        <w:rPr>
          <w:rFonts w:ascii="Calibri" w:cs="Calibri" w:eastAsia="Calibri" w:hAnsi="Calibri"/>
          <w:color w:val="333333"/>
          <w:sz w:val="21"/>
          <w:szCs w:val="21"/>
        </w:rPr>
        <w:t xml:space="preserve">, carry the national functions. Subregional wheels run on AAIN members’ existing branches and personnel. And the agro-energy hubs themselves are built where needed in rural areas, in sequential clusters, carrying services to the last mile. The result is deployment with realism: overhead diffused across infrastructure that already exists, long-term aftercare anchored in organizations already trusted, and productive demand built ahead of the grid – in support of Mission 300.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0"/>
        <w:gridCol w:w="7288"/>
      </w:tblGrid>
      <w:tr>
        <w:tc>
          <w:tcPr>
            <w:tcW w:type="dxa" w:w="2350"/>
            <w:tcBorders>
              <w:top w:val="single" w:color="C5CFDB" w:sz="4"/>
              <w:left w:val="single" w:color="C5CFDB" w:sz="4"/>
              <w:bottom w:val="single" w:color="C5CFDB" w:sz="4"/>
              <w:right w:val="single" w:color="C5CFDB" w:sz="4"/>
            </w:tcBorders>
            <w:shd w:fill="EDF1F6" w:val="clear"/>
            <w:tcMar>
              <w:top w:type="dxa" w:w="62"/>
              <w:left w:type="dxa" w:w="140"/>
              <w:bottom w:type="dxa" w:w="62"/>
              <w:right w:type="dxa" w:w="140"/>
            </w:tcMar>
          </w:tcPr>
          <w:p>
            <w:pPr>
              <w:spacing w:after="0"/>
            </w:pPr>
            <w:r>
              <w:rPr>
                <w:rFonts w:ascii="Calibri" w:cs="Calibri" w:eastAsia="Calibri" w:hAnsi="Calibri"/>
                <w:b/>
                <w:bCs/>
                <w:color w:val="1F3A5F"/>
                <w:sz w:val="20"/>
                <w:szCs w:val="20"/>
              </w:rPr>
              <w:t xml:space="preserve">The model</w:t>
            </w:r>
          </w:p>
        </w:tc>
        <w:tc>
          <w:tcPr>
            <w:tcW w:type="dxa" w:w="7288"/>
            <w:tcBorders>
              <w:top w:val="single" w:color="C5CFDB" w:sz="4"/>
              <w:left w:val="single" w:color="C5CFDB" w:sz="4"/>
              <w:bottom w:val="single" w:color="C5CFDB" w:sz="4"/>
              <w:right w:val="single" w:color="C5CFDB" w:sz="4"/>
            </w:tcBorders>
            <w:tcMar>
              <w:top w:type="dxa" w:w="62"/>
              <w:left w:type="dxa" w:w="140"/>
              <w:bottom w:type="dxa" w:w="62"/>
              <w:right w:type="dxa" w:w="140"/>
            </w:tcMar>
          </w:tcPr>
          <w:p>
            <w:pPr>
              <w:spacing w:after="0"/>
            </w:pPr>
            <w:r>
              <w:rPr>
                <w:rFonts w:ascii="Calibri" w:cs="Calibri" w:eastAsia="Calibri" w:hAnsi="Calibri"/>
                <w:color w:val="333333"/>
                <w:sz w:val="20"/>
                <w:szCs w:val="20"/>
              </w:rPr>
              <w:t xml:space="preserve">One wheel-and-spoke, repeated at four levels: continental HQ (direction, standards, financing architecture, KPIs and data) – country HQs through AAIN partnerships (customs, tax, accounting, legal, ministries) – subregional wheels on members’ existing branches – agro-energy hubs in clusters, carrying the last mile.</w:t>
            </w:r>
          </w:p>
        </w:tc>
      </w:tr>
      <w:tr>
        <w:tc>
          <w:tcPr>
            <w:tcW w:type="dxa" w:w="2350"/>
            <w:tcBorders>
              <w:top w:val="single" w:color="C5CFDB" w:sz="4"/>
              <w:left w:val="single" w:color="C5CFDB" w:sz="4"/>
              <w:bottom w:val="single" w:color="C5CFDB" w:sz="4"/>
              <w:right w:val="single" w:color="C5CFDB" w:sz="4"/>
            </w:tcBorders>
            <w:shd w:fill="EDF1F6" w:val="clear"/>
            <w:tcMar>
              <w:top w:type="dxa" w:w="62"/>
              <w:left w:type="dxa" w:w="140"/>
              <w:bottom w:type="dxa" w:w="62"/>
              <w:right w:type="dxa" w:w="140"/>
            </w:tcMar>
          </w:tcPr>
          <w:p>
            <w:pPr>
              <w:spacing w:after="0"/>
            </w:pPr>
            <w:r>
              <w:rPr>
                <w:rFonts w:ascii="Calibri" w:cs="Calibri" w:eastAsia="Calibri" w:hAnsi="Calibri"/>
                <w:b/>
                <w:bCs/>
                <w:color w:val="1F3A5F"/>
                <w:sz w:val="20"/>
                <w:szCs w:val="20"/>
              </w:rPr>
              <w:t xml:space="preserve">Deployment network</w:t>
            </w:r>
          </w:p>
        </w:tc>
        <w:tc>
          <w:tcPr>
            <w:tcW w:type="dxa" w:w="7288"/>
            <w:tcBorders>
              <w:top w:val="single" w:color="C5CFDB" w:sz="4"/>
              <w:left w:val="single" w:color="C5CFDB" w:sz="4"/>
              <w:bottom w:val="single" w:color="C5CFDB" w:sz="4"/>
              <w:right w:val="single" w:color="C5CFDB" w:sz="4"/>
            </w:tcBorders>
            <w:tcMar>
              <w:top w:type="dxa" w:w="62"/>
              <w:left w:type="dxa" w:w="140"/>
              <w:bottom w:type="dxa" w:w="62"/>
              <w:right w:type="dxa" w:w="140"/>
            </w:tcMar>
          </w:tcPr>
          <w:p>
            <w:pPr>
              <w:spacing w:after="0"/>
            </w:pPr>
            <w:r>
              <w:rPr>
                <w:rFonts w:ascii="Calibri" w:cs="Calibri" w:eastAsia="Calibri" w:hAnsi="Calibri"/>
                <w:color w:val="333333"/>
                <w:sz w:val="20"/>
                <w:szCs w:val="20"/>
              </w:rPr>
              <w:t xml:space="preserve">Executed partnership MOU with AAIN – African-led and African-owned; 110+ member incubators and enterprise-support organizations across a 54-country network; technical partner of the African Union Commission for incubation.</w:t>
            </w:r>
          </w:p>
        </w:tc>
      </w:tr>
      <w:tr>
        <w:tc>
          <w:tcPr>
            <w:tcW w:type="dxa" w:w="2350"/>
            <w:tcBorders>
              <w:top w:val="single" w:color="C5CFDB" w:sz="4"/>
              <w:left w:val="single" w:color="C5CFDB" w:sz="4"/>
              <w:bottom w:val="single" w:color="C5CFDB" w:sz="4"/>
              <w:right w:val="single" w:color="C5CFDB" w:sz="4"/>
            </w:tcBorders>
            <w:shd w:fill="EDF1F6" w:val="clear"/>
            <w:tcMar>
              <w:top w:type="dxa" w:w="62"/>
              <w:left w:type="dxa" w:w="140"/>
              <w:bottom w:type="dxa" w:w="62"/>
              <w:right w:type="dxa" w:w="140"/>
            </w:tcMar>
          </w:tcPr>
          <w:p>
            <w:pPr>
              <w:spacing w:after="0"/>
            </w:pPr>
            <w:r>
              <w:rPr>
                <w:rFonts w:ascii="Calibri" w:cs="Calibri" w:eastAsia="Calibri" w:hAnsi="Calibri"/>
                <w:b/>
                <w:bCs/>
                <w:color w:val="1F3A5F"/>
                <w:sz w:val="20"/>
                <w:szCs w:val="20"/>
              </w:rPr>
              <w:t xml:space="preserve">Pillar institutions</w:t>
            </w:r>
          </w:p>
        </w:tc>
        <w:tc>
          <w:tcPr>
            <w:tcW w:type="dxa" w:w="7288"/>
            <w:tcBorders>
              <w:top w:val="single" w:color="C5CFDB" w:sz="4"/>
              <w:left w:val="single" w:color="C5CFDB" w:sz="4"/>
              <w:bottom w:val="single" w:color="C5CFDB" w:sz="4"/>
              <w:right w:val="single" w:color="C5CFDB" w:sz="4"/>
            </w:tcBorders>
            <w:tcMar>
              <w:top w:type="dxa" w:w="62"/>
              <w:left w:type="dxa" w:w="140"/>
              <w:bottom w:type="dxa" w:w="62"/>
              <w:right w:type="dxa" w:w="140"/>
            </w:tcMar>
          </w:tcPr>
          <w:p>
            <w:pPr>
              <w:spacing w:after="0"/>
            </w:pPr>
            <w:r>
              <w:rPr>
                <w:rFonts w:ascii="Calibri" w:cs="Calibri" w:eastAsia="Calibri" w:hAnsi="Calibri"/>
                <w:color w:val="333333"/>
                <w:sz w:val="20"/>
                <w:szCs w:val="20"/>
              </w:rPr>
              <w:t xml:space="preserve">FAO (agriculture, farmer field schools) · WFP (food systems &amp; logistics) · universities (tele-education &amp; training) · pan-African banks and MFIs (hub financial services) · health networks (clinics &amp; tele-health) – illustrative, never exhaustive.</w:t>
            </w:r>
          </w:p>
        </w:tc>
      </w:tr>
      <w:tr>
        <w:tc>
          <w:tcPr>
            <w:tcW w:type="dxa" w:w="2350"/>
            <w:tcBorders>
              <w:top w:val="single" w:color="C5CFDB" w:sz="4"/>
              <w:left w:val="single" w:color="C5CFDB" w:sz="4"/>
              <w:bottom w:val="single" w:color="C5CFDB" w:sz="4"/>
              <w:right w:val="single" w:color="C5CFDB" w:sz="4"/>
            </w:tcBorders>
            <w:shd w:fill="EDF1F6" w:val="clear"/>
            <w:tcMar>
              <w:top w:type="dxa" w:w="62"/>
              <w:left w:type="dxa" w:w="140"/>
              <w:bottom w:type="dxa" w:w="62"/>
              <w:right w:type="dxa" w:w="140"/>
            </w:tcMar>
          </w:tcPr>
          <w:p>
            <w:pPr>
              <w:spacing w:after="0"/>
            </w:pPr>
            <w:r>
              <w:rPr>
                <w:rFonts w:ascii="Calibri" w:cs="Calibri" w:eastAsia="Calibri" w:hAnsi="Calibri"/>
                <w:b/>
                <w:bCs/>
                <w:color w:val="1F3A5F"/>
                <w:sz w:val="20"/>
                <w:szCs w:val="20"/>
              </w:rPr>
              <w:t xml:space="preserve">The team</w:t>
            </w:r>
          </w:p>
        </w:tc>
        <w:tc>
          <w:tcPr>
            <w:tcW w:type="dxa" w:w="7288"/>
            <w:tcBorders>
              <w:top w:val="single" w:color="C5CFDB" w:sz="4"/>
              <w:left w:val="single" w:color="C5CFDB" w:sz="4"/>
              <w:bottom w:val="single" w:color="C5CFDB" w:sz="4"/>
              <w:right w:val="single" w:color="C5CFDB" w:sz="4"/>
            </w:tcBorders>
            <w:tcMar>
              <w:top w:type="dxa" w:w="62"/>
              <w:left w:type="dxa" w:w="140"/>
              <w:bottom w:type="dxa" w:w="62"/>
              <w:right w:type="dxa" w:w="140"/>
            </w:tcMar>
          </w:tcPr>
          <w:p>
            <w:pPr>
              <w:spacing w:after="0"/>
            </w:pPr>
            <w:r>
              <w:rPr>
                <w:rFonts w:ascii="Calibri" w:cs="Calibri" w:eastAsia="Calibri" w:hAnsi="Calibri"/>
                <w:color w:val="333333"/>
                <w:sz w:val="20"/>
                <w:szCs w:val="20"/>
              </w:rPr>
              <w:t xml:space="preserve">A proven renewable-energy development team – first to market in several African countries – with organization, management and logistics kept at the center of the program.</w:t>
            </w:r>
          </w:p>
        </w:tc>
      </w:tr>
      <w:tr>
        <w:tc>
          <w:tcPr>
            <w:tcW w:type="dxa" w:w="2350"/>
            <w:tcBorders>
              <w:top w:val="single" w:color="C5CFDB" w:sz="4"/>
              <w:left w:val="single" w:color="C5CFDB" w:sz="4"/>
              <w:bottom w:val="single" w:color="C5CFDB" w:sz="4"/>
              <w:right w:val="single" w:color="C5CFDB" w:sz="4"/>
            </w:tcBorders>
            <w:shd w:fill="EDF1F6" w:val="clear"/>
            <w:tcMar>
              <w:top w:type="dxa" w:w="62"/>
              <w:left w:type="dxa" w:w="140"/>
              <w:bottom w:type="dxa" w:w="62"/>
              <w:right w:type="dxa" w:w="140"/>
            </w:tcMar>
          </w:tcPr>
          <w:p>
            <w:pPr>
              <w:spacing w:after="0"/>
            </w:pPr>
            <w:r>
              <w:rPr>
                <w:rFonts w:ascii="Calibri" w:cs="Calibri" w:eastAsia="Calibri" w:hAnsi="Calibri"/>
                <w:b/>
                <w:bCs/>
                <w:color w:val="1F3A5F"/>
                <w:sz w:val="20"/>
                <w:szCs w:val="20"/>
              </w:rPr>
              <w:t xml:space="preserve">Alignment</w:t>
            </w:r>
          </w:p>
        </w:tc>
        <w:tc>
          <w:tcPr>
            <w:tcW w:type="dxa" w:w="7288"/>
            <w:tcBorders>
              <w:top w:val="single" w:color="C5CFDB" w:sz="4"/>
              <w:left w:val="single" w:color="C5CFDB" w:sz="4"/>
              <w:bottom w:val="single" w:color="C5CFDB" w:sz="4"/>
              <w:right w:val="single" w:color="C5CFDB" w:sz="4"/>
            </w:tcBorders>
            <w:tcMar>
              <w:top w:type="dxa" w:w="62"/>
              <w:left w:type="dxa" w:w="140"/>
              <w:bottom w:type="dxa" w:w="62"/>
              <w:right w:type="dxa" w:w="140"/>
            </w:tcMar>
          </w:tcPr>
          <w:p>
            <w:pPr>
              <w:spacing w:after="0"/>
            </w:pPr>
            <w:r>
              <w:rPr>
                <w:rFonts w:ascii="Calibri" w:cs="Calibri" w:eastAsia="Calibri" w:hAnsi="Calibri"/>
                <w:color w:val="333333"/>
                <w:sz w:val="20"/>
                <w:szCs w:val="20"/>
              </w:rPr>
              <w:t xml:space="preserve">In support of Mission 300 and the national energy compacts · AU Agenda 2063 · the 17 Sustainable Development Goals · Burundi’s 2026 Chairmanship of the African Union as the convening window.</w:t>
            </w:r>
          </w:p>
        </w:tc>
      </w:tr>
      <w:tr>
        <w:tc>
          <w:tcPr>
            <w:tcW w:type="dxa" w:w="2350"/>
            <w:tcBorders>
              <w:top w:val="single" w:color="C5CFDB" w:sz="4"/>
              <w:left w:val="single" w:color="C5CFDB" w:sz="4"/>
              <w:bottom w:val="single" w:color="C5CFDB" w:sz="4"/>
              <w:right w:val="single" w:color="C5CFDB" w:sz="4"/>
            </w:tcBorders>
            <w:shd w:fill="EDF1F6" w:val="clear"/>
            <w:tcMar>
              <w:top w:type="dxa" w:w="62"/>
              <w:left w:type="dxa" w:w="140"/>
              <w:bottom w:type="dxa" w:w="62"/>
              <w:right w:type="dxa" w:w="140"/>
            </w:tcMar>
          </w:tcPr>
          <w:p>
            <w:pPr>
              <w:spacing w:after="0"/>
            </w:pPr>
            <w:r>
              <w:rPr>
                <w:rFonts w:ascii="Calibri" w:cs="Calibri" w:eastAsia="Calibri" w:hAnsi="Calibri"/>
                <w:b/>
                <w:bCs/>
                <w:color w:val="1F3A5F"/>
                <w:sz w:val="20"/>
                <w:szCs w:val="20"/>
              </w:rPr>
              <w:t xml:space="preserve">Financing logic</w:t>
            </w:r>
          </w:p>
        </w:tc>
        <w:tc>
          <w:tcPr>
            <w:tcW w:type="dxa" w:w="7288"/>
            <w:tcBorders>
              <w:top w:val="single" w:color="C5CFDB" w:sz="4"/>
              <w:left w:val="single" w:color="C5CFDB" w:sz="4"/>
              <w:bottom w:val="single" w:color="C5CFDB" w:sz="4"/>
              <w:right w:val="single" w:color="C5CFDB" w:sz="4"/>
            </w:tcBorders>
            <w:tcMar>
              <w:top w:type="dxa" w:w="62"/>
              <w:left w:type="dxa" w:w="140"/>
              <w:bottom w:type="dxa" w:w="62"/>
              <w:right w:type="dxa" w:w="140"/>
            </w:tcMar>
          </w:tcPr>
          <w:p>
            <w:pPr>
              <w:spacing w:after="0"/>
            </w:pPr>
            <w:r>
              <w:rPr>
                <w:rFonts w:ascii="Calibri" w:cs="Calibri" w:eastAsia="Calibri" w:hAnsi="Calibri"/>
                <w:color w:val="333333"/>
                <w:sz w:val="20"/>
                <w:szCs w:val="20"/>
              </w:rPr>
              <w:t xml:space="preserve">Built to absorb large concessional allocations responsibly – per-country pilot–verify–scale discipline; blended capital welcomed across grants and catalytic funding, concessional and commercial debt, equity, and risk-mitigation instruments.</w:t>
            </w:r>
          </w:p>
        </w:tc>
      </w:tr>
    </w:tbl>
    <w:p>
      <w:pPr>
        <w:spacing w:after="64" w:before="144"/>
      </w:pPr>
      <w:r>
        <w:rPr>
          <w:rFonts w:ascii="Calibri" w:cs="Calibri" w:eastAsia="Calibri" w:hAnsi="Calibri"/>
          <w:b/>
          <w:bCs/>
          <w:color w:val="2E6B4F"/>
          <w:sz w:val="24"/>
          <w:szCs w:val="24"/>
        </w:rPr>
        <w:t xml:space="preserve">The problem, reframed</w:t>
      </w:r>
    </w:p>
    <w:p>
      <w:pPr>
        <w:spacing w:after="90" w:line="238"/>
      </w:pPr>
      <w:r>
        <w:rPr>
          <w:rFonts w:ascii="Calibri" w:cs="Calibri" w:eastAsia="Calibri" w:hAnsi="Calibri"/>
          <w:color w:val="333333"/>
          <w:sz w:val="21"/>
          <w:szCs w:val="21"/>
        </w:rPr>
        <w:t xml:space="preserve">Roughly 600 million Africans remain without electricity, the overwhelming majority in rural, agricultural communities. The challenge is usually described as a technology or financing gap – yet generation is proven, and capital is mobilizing at record scale: Mission 300 alone has connected more than 50 million people in two years and mobilized over US$ 50 billion. Meanwhile, a thousand single-purpose programs – solar home systems, clean cookstoves, health, education – deploy separately, each carrying its own overhead, most ending at handover. What consistently breaks down at the last mile is deployment itself: the overhead of engineering, importation, warranties, legal, accounting and government interface that no village-scale site can carry on its own – and the decades-long aftercare that decides whether systems still run years after commissioning. That is an organization, management and logistics problem – and it is solvable, with the right architecture.</w:t>
      </w:r>
    </w:p>
    <w:p>
      <w:pPr>
        <w:spacing w:after="64" w:before="144"/>
      </w:pPr>
      <w:r>
        <w:rPr>
          <w:rFonts w:ascii="Calibri" w:cs="Calibri" w:eastAsia="Calibri" w:hAnsi="Calibri"/>
          <w:b/>
          <w:bCs/>
          <w:color w:val="2E6B4F"/>
          <w:sz w:val="24"/>
          <w:szCs w:val="24"/>
        </w:rPr>
        <w:t xml:space="preserve">The model – one wheel, many spokes, at every level</w:t>
      </w:r>
    </w:p>
    <w:p>
      <w:pPr>
        <w:spacing w:after="90" w:line="238"/>
      </w:pPr>
      <w:r>
        <w:rPr>
          <w:rFonts w:ascii="Calibri" w:cs="Calibri" w:eastAsia="Calibri" w:hAnsi="Calibri"/>
          <w:b/>
          <w:bCs/>
          <w:color w:val="1F3A5F"/>
          <w:sz w:val="21"/>
          <w:szCs w:val="21"/>
        </w:rPr>
        <w:t xml:space="preserve">1 · Continental HQ – Burundi. </w:t>
      </w:r>
      <w:r>
        <w:rPr>
          <w:rFonts w:ascii="Calibri" w:cs="Calibri" w:eastAsia="Calibri" w:hAnsi="Calibri"/>
          <w:color w:val="333333"/>
          <w:sz w:val="21"/>
          <w:szCs w:val="21"/>
        </w:rPr>
        <w:t xml:space="preserve">Overall organization, management and direction for the whole network: top-level engineering, procurement standards, program design, financing architecture, KPIs and data.</w:t>
      </w:r>
    </w:p>
    <w:p>
      <w:pPr>
        <w:spacing w:after="90" w:line="238"/>
      </w:pPr>
      <w:r>
        <w:rPr>
          <w:rFonts w:ascii="Calibri" w:cs="Calibri" w:eastAsia="Calibri" w:hAnsi="Calibri"/>
          <w:b/>
          <w:bCs/>
          <w:color w:val="1F3A5F"/>
          <w:sz w:val="21"/>
          <w:szCs w:val="21"/>
        </w:rPr>
        <w:t xml:space="preserve">2 · Country HQs – through AAIN partnerships. </w:t>
      </w:r>
      <w:r>
        <w:rPr>
          <w:rFonts w:ascii="Calibri" w:cs="Calibri" w:eastAsia="Calibri" w:hAnsi="Calibri"/>
          <w:color w:val="333333"/>
          <w:sz w:val="21"/>
          <w:szCs w:val="21"/>
        </w:rPr>
        <w:t xml:space="preserve">The national wheel, one per country: customs clearance, tax, accounting, legal, government ministries, culture and local supply – functions that cannot, and should not responsibly, be centralized.</w:t>
      </w:r>
    </w:p>
    <w:p>
      <w:pPr>
        <w:spacing w:after="90" w:line="238"/>
      </w:pPr>
      <w:r>
        <w:rPr>
          <w:rFonts w:ascii="Calibri" w:cs="Calibri" w:eastAsia="Calibri" w:hAnsi="Calibri"/>
          <w:b/>
          <w:bCs/>
          <w:color w:val="1F3A5F"/>
          <w:sz w:val="21"/>
          <w:szCs w:val="21"/>
        </w:rPr>
        <w:t xml:space="preserve">3 · Subregional wheels – the members’ branches. </w:t>
      </w:r>
      <w:r>
        <w:rPr>
          <w:rFonts w:ascii="Calibri" w:cs="Calibri" w:eastAsia="Calibri" w:hAnsi="Calibri"/>
          <w:color w:val="333333"/>
          <w:sz w:val="21"/>
          <w:szCs w:val="21"/>
        </w:rPr>
        <w:t xml:space="preserve">AAIN members’ and affiliates’ existing operational infrastructure and personnel – not necessarily their buildings – overlaid with expertise, support and staffing from the continental and country HQs as needed; they supervise, train and part-staff the hubs.</w:t>
      </w:r>
    </w:p>
    <w:p>
      <w:pPr>
        <w:spacing w:after="90" w:line="238"/>
      </w:pPr>
      <w:r>
        <w:rPr>
          <w:rFonts w:ascii="Calibri" w:cs="Calibri" w:eastAsia="Calibri" w:hAnsi="Calibri"/>
          <w:b/>
          <w:bCs/>
          <w:color w:val="1F3A5F"/>
          <w:sz w:val="21"/>
          <w:szCs w:val="21"/>
        </w:rPr>
        <w:t xml:space="preserve">4 · Agro-energy hubs – clusters to the last mile. </w:t>
      </w:r>
      <w:r>
        <w:rPr>
          <w:rFonts w:ascii="Calibri" w:cs="Calibri" w:eastAsia="Calibri" w:hAnsi="Calibri"/>
          <w:color w:val="333333"/>
          <w:sz w:val="21"/>
          <w:szCs w:val="21"/>
        </w:rPr>
        <w:t xml:space="preserve">Built where needed in rural areas and deployed in sequential waves and clusters, for logistical and operational coherence; from the hubs, services reach the last mile. Mini-grids follow only once a financial-viability threshold is met. Each country’s design follows its size, population density, electrification rate, existing infrastructure and national grid and distribution plans – a DRC is not a Burundi – and in each country the platform selects one pilot region, deploys, works out the kinks, verifies, and only then scales.</w:t>
      </w:r>
    </w:p>
    <w:p>
      <w:pPr>
        <w:spacing w:after="64" w:before="144"/>
      </w:pPr>
      <w:r>
        <w:rPr>
          <w:rFonts w:ascii="Calibri" w:cs="Calibri" w:eastAsia="Calibri" w:hAnsi="Calibri"/>
          <w:b/>
          <w:bCs/>
          <w:color w:val="2E6B4F"/>
          <w:sz w:val="24"/>
          <w:szCs w:val="24"/>
        </w:rPr>
        <w:t xml:space="preserve">Why it works – overhead diffused, aftercare built in</w:t>
      </w:r>
    </w:p>
    <w:p>
      <w:pPr>
        <w:spacing w:after="90" w:line="238"/>
      </w:pPr>
      <w:r>
        <w:rPr>
          <w:rFonts w:ascii="Calibri" w:cs="Calibri" w:eastAsia="Calibri" w:hAnsi="Calibri"/>
          <w:color w:val="333333"/>
          <w:sz w:val="21"/>
          <w:szCs w:val="21"/>
        </w:rPr>
        <w:t xml:space="preserve">The historic economics killer of rural energy is fixed overhead spread over small loads. Here, overhead is absorbed across the lattice, not by one headquarters: continental functions at the center; national functions in each country HQ; local administration inside the members’ existing structures – no new accountants and lawyers for every place. By piggybacking on organizations that already have premises, people and administration, the incremental overhead of each hub approaches the marginal cost of the services it adds – the personnel already exist and can be absorbed in some capacity, rather than hired anew. The same institutions provide the backbone for long-term, responsible aftercare: warranty, guarantee and O&amp;M cover delivered through people who are already on the ground and already trusted. Nothing in the model requires building new institutions; it organizes existing ones around power.</w:t>
      </w:r>
    </w:p>
    <w:p>
      <w:pPr>
        <w:spacing w:after="64" w:before="144"/>
      </w:pPr>
      <w:r>
        <w:rPr>
          <w:rFonts w:ascii="Calibri" w:cs="Calibri" w:eastAsia="Calibri" w:hAnsi="Calibri"/>
          <w:b/>
          <w:bCs/>
          <w:color w:val="2E6B4F"/>
          <w:sz w:val="24"/>
          <w:szCs w:val="24"/>
        </w:rPr>
        <w:t xml:space="preserve">The deployment lattice</w:t>
      </w:r>
    </w:p>
    <w:p>
      <w:pPr>
        <w:spacing w:after="90" w:line="238"/>
      </w:pPr>
      <w:r>
        <w:rPr>
          <w:rFonts w:ascii="Calibri" w:cs="Calibri" w:eastAsia="Calibri" w:hAnsi="Calibri"/>
          <w:color w:val="333333"/>
          <w:sz w:val="21"/>
          <w:szCs w:val="21"/>
        </w:rPr>
        <w:t xml:space="preserve">The executed AAIN partnership gives the platform an African-led lattice of 110+ member organizations across a 54-country network, with AAIN itself a technical partner of the African Union Commission for incubation. On top of that lattice, the pan-African pillar institutions slot into the verticals they already run – FAO for agriculture and farmer field schools, WFP for food systems and logistics, universities for tele-education, pan-African banks and microfinance institutions for hub financial services, and health networks for clinics and tele-health – with the right institutions brought in region by region, tailored to each geography. </w:t>
      </w:r>
      <w:r>
        <w:rPr>
          <w:rFonts w:ascii="Calibri" w:cs="Calibri" w:eastAsia="Calibri" w:hAnsi="Calibri"/>
          <w:b/>
          <w:bCs/>
          <w:i/>
          <w:iCs/>
          <w:color w:val="2E6B4F"/>
          <w:sz w:val="21"/>
          <w:szCs w:val="21"/>
        </w:rPr>
        <w:t xml:space="preserve">PURE Power Africa provides the power, the logistics, the management and the operational anchor – so every partner does what it does best.</w:t>
      </w:r>
    </w:p>
    <w:p>
      <w:pPr>
        <w:spacing w:after="64" w:before="144"/>
      </w:pPr>
      <w:r>
        <w:rPr>
          <w:rFonts w:ascii="Calibri" w:cs="Calibri" w:eastAsia="Calibri" w:hAnsi="Calibri"/>
          <w:b/>
          <w:bCs/>
          <w:color w:val="2E6B4F"/>
          <w:sz w:val="24"/>
          <w:szCs w:val="24"/>
        </w:rPr>
        <w:t xml:space="preserve">One network instead of a thousand programs</w:t>
      </w:r>
    </w:p>
    <w:p>
      <w:pPr>
        <w:spacing w:after="90" w:line="238"/>
      </w:pPr>
      <w:r>
        <w:rPr>
          <w:rFonts w:ascii="Calibri" w:cs="Calibri" w:eastAsia="Calibri" w:hAnsi="Calibri"/>
          <w:color w:val="333333"/>
          <w:sz w:val="21"/>
          <w:szCs w:val="21"/>
        </w:rPr>
        <w:t xml:space="preserve">These are agro-energy hubs: the vast majority of activity – and most of the lives touched – runs through the agricultural value chain, exactly the segment AAIN’s incubators serve. Productive uses come first: irrigation, milling, cold chain and agri-processing. E-mobility carries produce to market – the last-mile artery, cutting post-harvest losses – and the circular economy returns briquettes, biogas and organic fertilizer to the farm. Around that agricultural core, the fragmented single-purpose programs – solar home systems, clean cookstoves, tele-education, tele-health – aggregate into one hub channel: streamlined and efficient, with long-term aftercare, unified KPIs and data gathering built in. </w:t>
      </w:r>
      <w:r>
        <w:rPr>
          <w:rFonts w:ascii="Calibri" w:cs="Calibri" w:eastAsia="Calibri" w:hAnsi="Calibri"/>
          <w:b/>
          <w:bCs/>
          <w:i/>
          <w:iCs/>
          <w:color w:val="2E6B4F"/>
          <w:sz w:val="21"/>
          <w:szCs w:val="21"/>
        </w:rPr>
        <w:t xml:space="preserve">One program – in service of all 17 Sustainable Development Goals.</w:t>
      </w:r>
    </w:p>
    <w:p>
      <w:pPr>
        <w:spacing w:after="64" w:before="144"/>
      </w:pPr>
      <w:r>
        <w:rPr>
          <w:rFonts w:ascii="Calibri" w:cs="Calibri" w:eastAsia="Calibri" w:hAnsi="Calibri"/>
          <w:b/>
          <w:bCs/>
          <w:color w:val="2E6B4F"/>
          <w:sz w:val="24"/>
          <w:szCs w:val="24"/>
        </w:rPr>
        <w:t xml:space="preserve">In support of Mission 300 – and the jobs it unlocks</w:t>
      </w:r>
    </w:p>
    <w:p>
      <w:pPr>
        <w:spacing w:after="90" w:line="238"/>
      </w:pPr>
      <w:r>
        <w:rPr>
          <w:rFonts w:ascii="Calibri" w:cs="Calibri" w:eastAsia="Calibri" w:hAnsi="Calibri"/>
          <w:color w:val="333333"/>
          <w:sz w:val="21"/>
          <w:szCs w:val="21"/>
        </w:rPr>
        <w:t xml:space="preserve">Mission 300 – endorsed by 48 countries and the African Union, with 30 national energy compacts launched – is now connecting people at roughly double its launch pace. The hubs actively support that mission: productive access to electricity arrives ahead of the grid; solar home systems deployed through the hubs are connections in their own right; and mini-grids follow the viability gate, adding more – in step with the national compacts and local government plans. The architecture also gives large allocations, from the World Bank, European partners and the AfDB, a lattice through which to deploy responsibly and fast. The hub team itself stays deliberately compact: the hub is the catalyst, not the job pool. The employment story is the agricultural value chain the hub powers – produce and process; preserve, trade and transport; serve and equip – in economies where agriculture provides most livelihoods. The World Bank sizes Africa’s agrifood market at US$ 1 trillion by 2030, conditional on exactly what the hubs deliver: electricity and irrigation.</w:t>
      </w:r>
    </w:p>
    <w:p>
      <w:pPr>
        <w:spacing w:after="64" w:before="144"/>
      </w:pPr>
      <w:r>
        <w:rPr>
          <w:rFonts w:ascii="Calibri" w:cs="Calibri" w:eastAsia="Calibri" w:hAnsi="Calibri"/>
          <w:b/>
          <w:bCs/>
          <w:color w:val="2E6B4F"/>
          <w:sz w:val="24"/>
          <w:szCs w:val="24"/>
        </w:rPr>
        <w:t xml:space="preserve">Engagement</w:t>
      </w:r>
    </w:p>
    <w:p>
      <w:pPr>
        <w:spacing w:after="90" w:line="238"/>
      </w:pPr>
      <w:r>
        <w:rPr>
          <w:rFonts w:ascii="Calibri" w:cs="Calibri" w:eastAsia="Calibri" w:hAnsi="Calibri"/>
          <w:color w:val="333333"/>
          <w:sz w:val="21"/>
          <w:szCs w:val="21"/>
        </w:rPr>
        <w:t xml:space="preserve">PURE Power Africa welcomes engagement from the World Bank Group, the African Development Bank, European partners, pan-African institutions, foundations and aligned investors – across grants and catalytic funding, concessional and commercial debt, equity, and risk-mitigation instruments – to build the continental deployment platform for the last mile, country by country and pilot region by pilot region. Burundi – seat of the continental HQ – holds the 2026 Chairmanship of the African Union: the convening moment to launch.</w:t>
      </w:r>
    </w:p>
    <w:p>
      <w:pPr>
        <w:spacing w:after="0" w:before="160"/>
      </w:pPr>
      <w:r>
        <w:rPr>
          <w:rFonts w:ascii="Calibri" w:cs="Calibri" w:eastAsia="Calibri" w:hAnsi="Calibri"/>
          <w:color w:val="5A5A5A"/>
          <w:sz w:val="20"/>
          <w:szCs w:val="20"/>
        </w:rPr>
        <w:t xml:space="preserve">Michael Fichtenberg – PURE Power Africa</w:t>
      </w:r>
    </w:p>
    <w:sectPr>
      <w:footerReference w:type="default" r:id="rId7"/>
      <w:pgSz w:w="11906" w:h="16838" w:orient="portrait"/>
      <w:pgMar w:top="1000" w:right="1134" w:bottom="9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CFDB" w:sz="4" w:space="6"/>
      </w:pBdr>
      <w:tabs>
        <w:tab w:val="right" w:pos="9026"/>
      </w:tabs>
      <w:spacing w:after="0" w:before="60"/>
    </w:pPr>
    <w:r>
      <w:rPr>
        <w:rFonts w:ascii="Calibri" w:cs="Calibri" w:eastAsia="Calibri" w:hAnsi="Calibri"/>
        <w:b/>
        <w:bCs/>
        <w:color w:val="5A5A5A"/>
        <w:sz w:val="16"/>
        <w:szCs w:val="16"/>
      </w:rPr>
      <w:t xml:space="preserve">PURE Power Africa</w:t>
    </w:r>
    <w:r>
      <w:rPr>
        <w:rFonts w:ascii="Calibri" w:cs="Calibri" w:eastAsia="Calibri" w:hAnsi="Calibri"/>
        <w:color w:val="5A5A5A"/>
        <w:sz w:val="16"/>
        <w:szCs w:val="16"/>
      </w:rPr>
      <w:t xml:space="preserve">  ·  Concept teaser – strictly private &amp; confidential</w:t>
    </w:r>
    <w:r>
      <w:rPr>
        <w:rFonts w:ascii="Calibri" w:cs="Calibri" w:eastAsia="Calibri" w:hAnsi="Calibri"/>
        <w:color w:val="5A5A5A"/>
        <w:sz w:val="16"/>
        <w:szCs w:val="16"/>
      </w:rPr>
      <w:t xml:space="preserve">	</w:t>
    </w:r>
    <w:r>
      <w:rPr>
        <w:rFonts w:ascii="Calibri" w:cs="Calibri" w:eastAsia="Calibri" w:hAnsi="Calibri"/>
        <w:color w:val="5A5A5A"/>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2026-08-07T00:23:44.121Z</dcterms:created>
  <dcterms:modified xsi:type="dcterms:W3CDTF">2026-08-07T00:23:44.121Z</dcterms:modified>
</cp:coreProperties>
</file>

<file path=docProps/custom.xml><?xml version="1.0" encoding="utf-8"?>
<Properties xmlns="http://schemas.openxmlformats.org/officeDocument/2006/custom-properties" xmlns:vt="http://schemas.openxmlformats.org/officeDocument/2006/docPropsVTypes"/>
</file>