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52"/>
          <w:szCs w:val="52"/>
        </w:rPr>
        <w:t xml:space="preserve">Gigawatt PURE Power</w:t>
      </w:r>
    </w:p>
    <w:p>
      <w:pPr>
        <w:spacing w:after="140"/>
      </w:pPr>
      <w:r>
        <w:rPr>
          <w:rFonts w:ascii="Calibri" w:cs="Calibri" w:eastAsia="Calibri" w:hAnsi="Calibri"/>
          <w:b/>
          <w:bCs/>
          <w:color w:val="2E6B4F"/>
          <w:sz w:val="28"/>
          <w:szCs w:val="28"/>
        </w:rPr>
        <w:t xml:space="preserve">Africa – Continental Agro-Energy Hub Platform</w:t>
      </w:r>
    </w:p>
    <w:p>
      <w:pPr>
        <w:spacing w:after="120"/>
      </w:pPr>
      <w:r>
        <w:rPr>
          <w:rFonts w:ascii="Calibri" w:cs="Calibri" w:eastAsia="Calibri" w:hAnsi="Calibri"/>
          <w:b/>
          <w:bCs/>
          <w:color w:val="5A5A5A"/>
          <w:sz w:val="17"/>
          <w:szCs w:val="17"/>
        </w:rPr>
        <w:t xml:space="preserve">AGRO-ENERGY HUBS   ·   LAST-MILE DEPLOYMENT   ·   PAN-AFRICAN PARTNERSHIPS   ·   PRODUCTIVE USES OF RENEWABLE ENERGY</w:t>
      </w:r>
    </w:p>
    <w:p>
      <w:pPr>
        <w:spacing w:after="140" w:line="248"/>
      </w:pPr>
      <w:r>
        <w:rPr>
          <w:rFonts w:ascii="Calibri" w:cs="Calibri" w:eastAsia="Calibri" w:hAnsi="Calibri"/>
          <w:i/>
          <w:iCs/>
          <w:color w:val="333333"/>
          <w:sz w:val="22"/>
          <w:szCs w:val="22"/>
        </w:rPr>
        <w:t xml:space="preserve">Africa’s last-mile energy gap is, above all, a logistics, management and organization problem. PURE Power Africa solves it by overlaying a proven agro-energy hub model onto the institutional infrastructure the continent already has.</w:t>
      </w:r>
    </w:p>
    <w:p>
      <w:pPr>
        <w:spacing w:after="104" w:line="248"/>
      </w:pPr>
      <w:r>
        <w:rPr>
          <w:rFonts w:ascii="Calibri" w:cs="Calibri" w:eastAsia="Calibri" w:hAnsi="Calibri"/>
          <w:color w:val="333333"/>
          <w:sz w:val="21"/>
          <w:szCs w:val="21"/>
        </w:rPr>
        <w:t xml:space="preserve">PURE Power Africa is the continental scale-up of the operating Gigawatt PURE Power platform in Burundi – the same wheel-and-spoke architecture, zoomed out. A single platform headquarters carries the functions no rural site can afford alone: top-level engineering, procurement and importation, warranty and guarantee management, legal, accounting and government interface. Deployment runs through Africa’s own institutions –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with which a partnership MOU has been executed, and the pan-African pillar institutions already present in every country. The result is speed to deployment with realism: overhead defrayed by infrastructure that already exists, long-term aftercare anchored in organizations that are already there, and productive demand built ahead of the grid, in harmony with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Hub-and-spoke at continental scale: the PURE Power Africa HQ absorbs overhead and provides the aftercare backbone; vetted national lead members deploy and host the hubs; mini-grids follow only once a financial-viability threshold is met in each geography.</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Operating proof</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Burundi: 5+ years operating the country’s first utility-scale solar IPP under a REGIDESO PPA; Minister of Energy-endorsed 150 MW platform with an active government roadmap; FESEC grant secured with FAO co-funding – ground broken on the first agro-energy hub, August 4, 2026.</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Mission 300 and the national energy compacts · AU Agenda 2063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80" w:before="180"/>
      </w:pPr>
      <w:r>
        <w:rPr>
          <w:rFonts w:ascii="Calibri" w:cs="Calibri" w:eastAsia="Calibri" w:hAnsi="Calibri"/>
          <w:b/>
          <w:bCs/>
          <w:color w:val="2E6B4F"/>
          <w:sz w:val="24"/>
          <w:szCs w:val="24"/>
        </w:rPr>
        <w:t xml:space="preserve">The problem, reframed</w:t>
      </w:r>
    </w:p>
    <w:p>
      <w:pPr>
        <w:spacing w:after="104" w:line="248"/>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Mission 300 alone has connected more than 50 million people in two years and mobilized over US$ 50 billion. What consistently breaks down at the last mile is deployment: the overhead of engineering, importation, warranties, legal, accounting and government interface that no village-scale site can carry on its own – and the decades-long aftercare that determines whether systems still run years after commissioning. That is a logistics, management and organization problem – and it is solvable, with the right architecture.</w:t>
      </w:r>
    </w:p>
    <w:p>
      <w:pPr>
        <w:spacing w:after="80" w:before="180"/>
      </w:pPr>
      <w:r>
        <w:rPr>
          <w:rFonts w:ascii="Calibri" w:cs="Calibri" w:eastAsia="Calibri" w:hAnsi="Calibri"/>
          <w:b/>
          <w:bCs/>
          <w:color w:val="2E6B4F"/>
          <w:sz w:val="24"/>
          <w:szCs w:val="24"/>
        </w:rPr>
        <w:t xml:space="preserve">The model – one wheel, many spokes, one continent</w:t>
      </w:r>
    </w:p>
    <w:p>
      <w:pPr>
        <w:spacing w:after="104" w:line="248"/>
      </w:pPr>
      <w:r>
        <w:rPr>
          <w:rFonts w:ascii="Calibri" w:cs="Calibri" w:eastAsia="Calibri" w:hAnsi="Calibri"/>
          <w:b/>
          <w:bCs/>
          <w:color w:val="1F3A5F"/>
          <w:sz w:val="21"/>
          <w:szCs w:val="21"/>
        </w:rPr>
        <w:t xml:space="preserve">PURE Power Africa – the HQ. </w:t>
      </w:r>
      <w:r>
        <w:rPr>
          <w:rFonts w:ascii="Calibri" w:cs="Calibri" w:eastAsia="Calibri" w:hAnsi="Calibri"/>
          <w:color w:val="333333"/>
          <w:sz w:val="21"/>
          <w:szCs w:val="21"/>
        </w:rPr>
        <w:t xml:space="preserve">One platform carries the wheel: top-level engineering, procurement and importation, warranty and guarantee management, legal, accounting and government interface – absorbing across the whole network the overhead that has historically killed rural energy economics.</w:t>
      </w:r>
    </w:p>
    <w:p>
      <w:pPr>
        <w:spacing w:after="104" w:line="248"/>
      </w:pPr>
      <w:r>
        <w:rPr>
          <w:rFonts w:ascii="Calibri" w:cs="Calibri" w:eastAsia="Calibri" w:hAnsi="Calibri"/>
          <w:b/>
          <w:bCs/>
          <w:color w:val="1F3A5F"/>
          <w:sz w:val="21"/>
          <w:szCs w:val="21"/>
        </w:rPr>
        <w:t xml:space="preserve">National lead members – the spokes. </w:t>
      </w:r>
      <w:r>
        <w:rPr>
          <w:rFonts w:ascii="Calibri" w:cs="Calibri" w:eastAsia="Calibri" w:hAnsi="Calibri"/>
          <w:color w:val="333333"/>
          <w:sz w:val="21"/>
          <w:szCs w:val="21"/>
        </w:rPr>
        <w:t xml:space="preserve">In each country, deployment runs through vetted, capable member organizations of AAIN – or combinations of them – with pre-existing physical infrastructure: branches, personnel, government relationships, and living knowledge of local needs, programs, universities and clinics. Hubs are overlaid onto what already stands.</w:t>
      </w:r>
    </w:p>
    <w:p>
      <w:pPr>
        <w:spacing w:after="104" w:line="248"/>
      </w:pPr>
      <w:r>
        <w:rPr>
          <w:rFonts w:ascii="Calibri" w:cs="Calibri" w:eastAsia="Calibri" w:hAnsi="Calibri"/>
          <w:b/>
          <w:bCs/>
          <w:color w:val="1F3A5F"/>
          <w:sz w:val="21"/>
          <w:szCs w:val="21"/>
        </w:rPr>
        <w:t xml:space="preserve">Agro-energy hubs – the last mile. </w:t>
      </w:r>
      <w:r>
        <w:rPr>
          <w:rFonts w:ascii="Calibri" w:cs="Calibri" w:eastAsia="Calibri" w:hAnsi="Calibri"/>
          <w:color w:val="333333"/>
          <w:sz w:val="21"/>
          <w:szCs w:val="21"/>
        </w:rPr>
        <w:t xml:space="preserve">Deployment is bi-phased: hubs establish anchor productive demand first, in a financially responsible and replicable way; mini-grids follow only once a financial-viability threshold is met. In each country the platform selects one pilot region, deploys, works out the kinks, verifies – and only then scales.</w:t>
      </w:r>
    </w:p>
    <w:p>
      <w:pPr>
        <w:spacing w:after="80" w:before="180"/>
      </w:pPr>
      <w:r>
        <w:rPr>
          <w:rFonts w:ascii="Calibri" w:cs="Calibri" w:eastAsia="Calibri" w:hAnsi="Calibri"/>
          <w:b/>
          <w:bCs/>
          <w:color w:val="2E6B4F"/>
          <w:sz w:val="24"/>
          <w:szCs w:val="24"/>
        </w:rPr>
        <w:t xml:space="preserve">Why it works – overhead absorbed, aftercare built in</w:t>
      </w:r>
    </w:p>
    <w:p>
      <w:pPr>
        <w:spacing w:after="104" w:line="248"/>
      </w:pPr>
      <w:r>
        <w:rPr>
          <w:rFonts w:ascii="Calibri" w:cs="Calibri" w:eastAsia="Calibri" w:hAnsi="Calibri"/>
          <w:color w:val="333333"/>
          <w:sz w:val="21"/>
          <w:szCs w:val="21"/>
        </w:rPr>
        <w:t xml:space="preserve">The historic economics killer of rural energy is fixed overhead spread over small loads.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through people who are already on the ground and already trusted. Nothing in the model requires building new institutions; it organizes existing ones around power.</w:t>
      </w:r>
    </w:p>
    <w:p>
      <w:pPr>
        <w:spacing w:after="80" w:before="180"/>
      </w:pPr>
      <w:r>
        <w:rPr>
          <w:rFonts w:ascii="Calibri" w:cs="Calibri" w:eastAsia="Calibri" w:hAnsi="Calibri"/>
          <w:b/>
          <w:bCs/>
          <w:color w:val="2E6B4F"/>
          <w:sz w:val="24"/>
          <w:szCs w:val="24"/>
        </w:rPr>
        <w:t xml:space="preserve">The deployment lattice</w:t>
      </w:r>
    </w:p>
    <w:p>
      <w:pPr>
        <w:spacing w:after="104" w:line="248"/>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Gigawatt provides the power, the logistics, the management and the operational anchor – so every partner does what it does best.</w:t>
      </w:r>
    </w:p>
    <w:p>
      <w:pPr>
        <w:spacing w:after="80" w:before="180"/>
      </w:pPr>
      <w:r>
        <w:rPr>
          <w:rFonts w:ascii="Calibri" w:cs="Calibri" w:eastAsia="Calibri" w:hAnsi="Calibri"/>
          <w:b/>
          <w:bCs/>
          <w:color w:val="2E6B4F"/>
          <w:sz w:val="24"/>
          <w:szCs w:val="24"/>
        </w:rPr>
        <w:t xml:space="preserve">Proven in Burundi</w:t>
      </w:r>
    </w:p>
    <w:p>
      <w:pPr>
        <w:spacing w:after="104" w:line="248"/>
      </w:pPr>
      <w:r>
        <w:rPr>
          <w:rFonts w:ascii="Calibri" w:cs="Calibri" w:eastAsia="Calibri" w:hAnsi="Calibri"/>
          <w:color w:val="333333"/>
          <w:sz w:val="21"/>
          <w:szCs w:val="21"/>
        </w:rPr>
        <w:t xml:space="preserve">The platform is built on the Gigawatt Global team’s development record and carried abroad by the operating Burundi program. In Burundi it has: 5+ years operating the country’s first utility-scale solar IPP under a REGIDESO PPA – developed, and still managed, by the platform’s team; a 150 MW national platform endorsed by the Minister of Energy, with an active roadmap alongside the Government’s appointed committee; Ministry-awarded productive-use concession sites as pilot hubs toward a national roll-out; and a FESEC grant secured with FAO co-funding. On August 4, 2026, ground was broken on the first agro-energy hub at Nyamugari, Cankuzo, together with FAO and provincial government. A contracted agricultural-residue stream powers the platform’s waste-to-energy layer – biodigester and biogas pilots underway – while hub e-mobility moves produce to market and cuts post-harvest losses. Burundian industrial and agri-processing capacity sits inside the group, keeping construction, operations and maintenance in-house for the long term.</w:t>
      </w:r>
    </w:p>
    <w:p>
      <w:pPr>
        <w:spacing w:after="80" w:before="180"/>
      </w:pPr>
      <w:r>
        <w:rPr>
          <w:rFonts w:ascii="Calibri" w:cs="Calibri" w:eastAsia="Calibri" w:hAnsi="Calibri"/>
          <w:b/>
          <w:bCs/>
          <w:color w:val="2E6B4F"/>
          <w:sz w:val="24"/>
          <w:szCs w:val="24"/>
        </w:rPr>
        <w:t xml:space="preserve">In harmony with Mission 300 – and the jobs it unlocks</w:t>
      </w:r>
    </w:p>
    <w:p>
      <w:pPr>
        <w:spacing w:after="104" w:line="248"/>
      </w:pPr>
      <w:r>
        <w:rPr>
          <w:rFonts w:ascii="Calibri" w:cs="Calibri" w:eastAsia="Calibri" w:hAnsi="Calibri"/>
          <w:color w:val="333333"/>
          <w:sz w:val="21"/>
          <w:szCs w:val="21"/>
        </w:rPr>
        <w:t xml:space="preserve">Mission 300 – endorsed by 48 countries and the African Union, with 30 national energy compacts launched – is now connecting people at roughly double its launch pace. The hubs support that momentum from the demand side: by anchoring productive use ahead of grid arrival, they make grid and mini-grid investment bankable and durable, in harmony with the national compacts and local government goals – and they give large allocations, from the World Bank, European partners and the AfDB,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80" w:before="180"/>
      </w:pPr>
      <w:r>
        <w:rPr>
          <w:rFonts w:ascii="Calibri" w:cs="Calibri" w:eastAsia="Calibri" w:hAnsi="Calibri"/>
          <w:b/>
          <w:bCs/>
          <w:color w:val="2E6B4F"/>
          <w:sz w:val="24"/>
          <w:szCs w:val="24"/>
        </w:rPr>
        <w:t xml:space="preserve">Engagement</w:t>
      </w:r>
    </w:p>
    <w:p>
      <w:pPr>
        <w:spacing w:after="104" w:line="248"/>
      </w:pPr>
      <w:r>
        <w:rPr>
          <w:rFonts w:ascii="Calibri" w:cs="Calibri" w:eastAsia="Calibri" w:hAnsi="Calibri"/>
          <w:color w:val="333333"/>
          <w:sz w:val="21"/>
          <w:szCs w:val="21"/>
        </w:rPr>
        <w:t xml:space="preserve">PURE Power Africa welcomes engagement from the World Bank Group, the African Development Bank, European partners, pan-African institutions, foundations and aligned investors – across grants and catalytic funding, concessional and commercial debt, equity, and risk-mitigation instruments – to take the platform from its operating Burundian base to a continental deployment, country by country and pilot region by pilot region. Burundi’s 2026 Chairmanship of the African Union offers the convening moment to launch.</w:t>
      </w:r>
    </w:p>
    <w:p>
      <w:pPr>
        <w:spacing w:after="0" w:before="160"/>
      </w:pPr>
      <w:r>
        <w:rPr>
          <w:rFonts w:ascii="Calibri" w:cs="Calibri" w:eastAsia="Calibri" w:hAnsi="Calibri"/>
          <w:color w:val="5A5A5A"/>
          <w:sz w:val="20"/>
          <w:szCs w:val="20"/>
        </w:rPr>
        <w:t xml:space="preserve">Michael Fichtenberg – Gigawatt Burundi S.A.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Gigawatt 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2026-08-06T23:01:42.031Z</dcterms:created>
  <dcterms:modified xsi:type="dcterms:W3CDTF">2026-08-06T23:01:42.031Z</dcterms:modified>
</cp:coreProperties>
</file>

<file path=docProps/custom.xml><?xml version="1.0" encoding="utf-8"?>
<Properties xmlns="http://schemas.openxmlformats.org/officeDocument/2006/custom-properties" xmlns:vt="http://schemas.openxmlformats.org/officeDocument/2006/docPropsVTypes"/>
</file>