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A5F"/>
          <w:sz w:val="30"/>
          <w:szCs w:val="30"/>
        </w:rPr>
        <w:t xml:space="preserve">MEMORANDUM OF UNDERSTANDING</w:t>
      </w:r>
    </w:p>
    <w:p>
      <w:pPr>
        <w:spacing w:after="60"/>
        <w:jc w:val="center"/>
      </w:pPr>
      <w:r>
        <w:rPr>
          <w:rFonts w:ascii="Calibri" w:cs="Calibri" w:eastAsia="Calibri" w:hAnsi="Calibri"/>
          <w:color w:val="5A5A5A"/>
          <w:sz w:val="19"/>
          <w:szCs w:val="19"/>
        </w:rPr>
        <w:t xml:space="preserve">between</w:t>
      </w:r>
    </w:p>
    <w:p>
      <w:pPr>
        <w:spacing w:after="20"/>
        <w:jc w:val="center"/>
      </w:pPr>
      <w:r>
        <w:rPr>
          <w:rFonts w:ascii="Calibri" w:cs="Calibri" w:eastAsia="Calibri" w:hAnsi="Calibri"/>
          <w:b/>
          <w:bCs/>
          <w:color w:val="333333"/>
          <w:sz w:val="21"/>
          <w:szCs w:val="21"/>
        </w:rPr>
        <w:t xml:space="preserve">CENTRE DE FORMATION POLYTECHNIQUE ET DE RECONVERSION PROFESSIONNELLE DE RUSI (CEFORE-RUSI)</w:t>
      </w:r>
    </w:p>
    <w:p>
      <w:pPr>
        <w:spacing w:after="80"/>
        <w:jc w:val="center"/>
      </w:pPr>
      <w:r>
        <w:rPr>
          <w:rFonts w:ascii="Calibri" w:cs="Calibri" w:eastAsia="Calibri" w:hAnsi="Calibri"/>
          <w:color w:val="5A5A5A"/>
          <w:sz w:val="19"/>
          <w:szCs w:val="19"/>
        </w:rPr>
        <w:t xml:space="preserve">a public polytechnic and vocational training center of the Republic of Burundi, Rusi, Karuzi Province (“the Center”)</w:t>
      </w:r>
    </w:p>
    <w:p>
      <w:pPr>
        <w:spacing w:after="60"/>
        <w:jc w:val="center"/>
      </w:pPr>
      <w:r>
        <w:rPr>
          <w:rFonts w:ascii="Calibri" w:cs="Calibri" w:eastAsia="Calibri" w:hAnsi="Calibri"/>
          <w:color w:val="5A5A5A"/>
          <w:sz w:val="19"/>
          <w:szCs w:val="19"/>
        </w:rPr>
        <w:t xml:space="preserve">and</w:t>
      </w:r>
    </w:p>
    <w:p>
      <w:pPr>
        <w:spacing w:after="20"/>
        <w:jc w:val="center"/>
      </w:pPr>
      <w:r>
        <w:rPr>
          <w:rFonts w:ascii="Calibri" w:cs="Calibri" w:eastAsia="Calibri" w:hAnsi="Calibri"/>
          <w:b/>
          <w:bCs/>
          <w:color w:val="333333"/>
          <w:sz w:val="21"/>
          <w:szCs w:val="21"/>
        </w:rPr>
        <w:t xml:space="preserve">GIGAWATT BURUNDI S.A.</w:t>
      </w:r>
    </w:p>
    <w:p>
      <w:pPr>
        <w:spacing w:after="200"/>
        <w:jc w:val="center"/>
      </w:pPr>
      <w:r>
        <w:rPr>
          <w:rFonts w:ascii="Calibri" w:cs="Calibri" w:eastAsia="Calibri" w:hAnsi="Calibri"/>
          <w:color w:val="5A5A5A"/>
          <w:sz w:val="19"/>
          <w:szCs w:val="19"/>
        </w:rPr>
        <w:t xml:space="preserve">a company incorporated under the laws of Burundi, acting as promoter and for the account of the PURE Power Burundi program – the Burundi country component of the PURE Power Africa continental program – (“PURE Power Burundi”, and together with the Center, “the Parties”)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1. Purpose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1. Objet</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This Memorandum of Understanding establishes a framework of collaboration between the Center and PURE Power Burundi to anchor, on and with the Center’s campus at Rusi, Karuzi: (a) the operational headquarters of PURE Power Burundi; (b) the program’s flagship demonstration agro-energy hub and demonstration farm for Burundi; and (c) its national training and train-the-trainers academy. As the natural extension of the foregoing, the Parties further intend to plan, prepare and, in due course, launch from the same campus the continental headquarters seat and the continental train-the-trainers academy of PURE Power Africa.</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présent Protocole d’Accord établit un cadre de collaboration entre le Centre et PURE Power Burundi afin d’ancrer, sur et avec le campus du Centre à Rusi, Karuzi : (a) le siège opérationnel de PURE Power Burundi ; (b) le pôle agro-énergétique phare de démonstration et la ferme de démonstration du programme pour le Burundi ; et (c) son académie nationale de formation et de formation des formateurs. Dans le prolongement naturel de ce qui précède, les Parties entendent en outre planifier, préparer et, le moment venu, lancer depuis le même campus le siège continental et l’académie continentale de formation des formateurs de PURE Power Africa.</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2. Background and vision</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2. Contexte et vision</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Center is a presidential-project polytechnic campus of the Republic of Burundi at Rusi, Karuzi, inaugurated on September 15, 2022, training in agropastoral production, electromechanics, electricity, green energy and entrepreneurship, and principal beneficiary of the PEAPJF project supported by the African Development Bank. PURE Power Burundi is a national program of agro-energy hubs for rural Burundi, and the Burundi country component of PURE Power Africa – the continental program deployed through the member organizations of the African Agribusiness Incubators Network (AAIN), with which a framework Memorandum of Understanding was signed at AAICE 2026 in Bujumbura on August 6, 2026, and through pan-African pillar institutions. The Parties share the vision of Burundi as the origin market and demonstration point of that continental model, launched in the year of Burundi’s Chairmanship of the African Union.</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Centre est un campus polytechnique de la République du Burundi à statut de projet présidentiel, sis à Rusi, Karuzi, inauguré le 15 septembre 2022, formant à la production agropastorale, à l’électromécanique, à l’électricité, aux énergies vertes et à l’entrepreneuriat, et bénéficiaire principal du projet PEAPJF appuyé par la Banque africaine de développement. PURE Power Burundi est un programme national de pôles agro-énergétiques pour le Burundi rural, et la composante-pays burundaise de PURE Power Africa – le programme continental déployé à travers les organisations membres du Réseau Africain des Incubateurs d’Agrobusiness (AAIN), avec lequel un Protocole-Cadre a été signé à l’AAICE 2026 à Bujumbura le 6 août 2026, ainsi qu’à travers les institutions-piliers panafricaines. Les Parties partagent la vision d’un Burundi marché d’origine et point de démonstration de ce modèle continental, lancé l’année de la présidence burundaise de l’Union africaine.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3. Areas of collaboration</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3. Domaines de collaboration</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Parties intend to collaborate, first and foremost for Burundi, on: (a) the flagship demonstration hub – solar generation and storage powering irrigation, milling, cold chain and agri-processing as a live classroom and demonstration farm; (b) the national training academy – co-developed curricula and train-the-trainers programs for the Burundi roll-out; (c) equipment staging, assembly and quality control for the national roll-out; (d) an e-mobility depot – charging and maintenance for electric two- and three-wheelers; (e) incubation and cooperative strengthening, in connection with the Center’s PEAPJF objectives; and, as the natural extension, (f) the hosting of the continental headquarters functions and the continental train-the-trainers academy of PURE Power Africa, open to cooperation with the TDB Academy, the AAIN mentor network and university partners.</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Les Parties entendent collaborer, d’abord et avant tout pour le Burundi, sur : (a) le pôle phare de démonstration – production et stockage solaires alimentant l’irrigation, la mouture, la chaîne du froid et la transformation agroalimentaire, en salle de classe vivante et ferme de démonstration ; (b) l’académie nationale de formation – curricula co-développés et formation des formateurs pour le déploiement burundais ; (c) la préparation, l’assemblage et le contrôle qualité des équipements pour le déploiement national ; (d) un dépôt de mobilité électrique – recharge et maintenance des deux et trois roues électriques ; (e) l’incubation et le renforcement des coopératives, en lien avec les objectifs PEAPJF du Centre ; et, dans le prolongement naturel, (f) l’accueil des fonctions de siège continental et de l’académie continentale de formation des formateurs de PURE Power Africa, ouvert à la coopération avec la TDB Academy, le réseau de mentors de l’AAIN et les partenaires universitaires.</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4. Contributions</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4. Contributions</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Center intends to make available agreed areas of its campus and facilities – the precise sites and modalities remaining indicative until set out in implementation protocols – and to involve its trainers, staff and trainees in the joint activities. PURE Power Burundi intends to provide the equipment and installations, mobilize the buildout capital, and contribute program management, technical expertise, long-term aftercare, and the KPI and data platform of the Program.</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Centre entend mettre à disposition des espaces convenus de son campus et de ses installations – les emprises et modalités précises demeurant indicatives jusqu’à leur définition dans des protocoles de mise en œuvre – et associer ses formateurs, son personnel et ses apprenants aux activités conjointes. PURE Power Burundi entend fournir les équipements et installations, mobiliser les financements de construction, et apporter la gestion de programme, l’expertise technique, le service après-vente de long terme ainsi que la plateforme d’indicateurs et de données du Programme.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5. Governance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5. Gouvernance</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A joint coordination committee of the Parties agrees the campus site plan, adopts implementation protocols per area of collaboration, and reviews progress at least twice a year. The Parties may welcome AAIN and other institutional partners to specific activities, and may conclude tripartite protocols where useful.</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Un comité conjoint de coordination des Parties arrête le plan d’implantation sur le campus, adopte des protocoles de mise en œuvre par domaine de collaboration et passe en revue l’avancement au moins deux fois par an. Les Parties peuvent associer l’AAIN et d’autres partenaires institutionnels à des activités déterminées et conclure, en tant que de besoin, des protocoles tripartites.</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6. Nature, duration and costs</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6. Nature, durée et frais</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This Memorandum expresses the Parties’ common intention and does not create binding financial obligations; it entails no cost for the Center or for the State. It takes effect on signature for an initial period of five (5) years, renewable by mutual agreement, and may be ended by either Party with three (3) months’ written notice. The English text prevails in case of divergence.</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présent Protocole exprime l’intention commune des Parties et ne crée pas d’obligations financières contraignantes ; il n’emporte aucun frais pour le Centre ni pour l’État. Il prend effet à la signature pour une durée initiale de cinq (5) ans, renouvelable d’un commun accord, et peut y être mis fin par chaque Partie moyennant un préavis écrit de trois (3) mois. Le texte anglais prévaut en cas de divergence.</w:t>
            </w:r>
          </w:p>
        </w:tc>
      </w:tr>
    </w:tbl>
    <w:p>
      <w:pPr>
        <w:spacing w:after="200" w:before="260"/>
      </w:pPr>
      <w:r>
        <w:rPr>
          <w:rFonts w:ascii="Calibri" w:cs="Calibri" w:eastAsia="Calibri" w:hAnsi="Calibri"/>
          <w:b/>
          <w:bCs/>
          <w:color w:val="1F3A5F"/>
          <w:sz w:val="20"/>
          <w:szCs w:val="20"/>
        </w:rPr>
        <w:t xml:space="preserve">For the Centre de Formation Polytechnique et de Reconversion Professionnelle de Rusi (CEFORE-RUSI):</w:t>
      </w:r>
    </w:p>
    <w:p>
      <w:pPr>
        <w:spacing w:after="60"/>
      </w:pPr>
      <w:r>
        <w:rPr>
          <w:rFonts w:ascii="Calibri" w:cs="Calibri" w:eastAsia="Calibri" w:hAnsi="Calibri"/>
          <w:color w:val="5A5A5A"/>
          <w:sz w:val="19"/>
          <w:szCs w:val="19"/>
        </w:rPr>
        <w:t xml:space="preserve">_________________________________</w:t>
      </w:r>
    </w:p>
    <w:p>
      <w:pPr>
        <w:spacing w:after="20"/>
      </w:pPr>
      <w:r>
        <w:rPr>
          <w:rFonts w:ascii="Calibri" w:cs="Calibri" w:eastAsia="Calibri" w:hAnsi="Calibri"/>
          <w:b/>
          <w:bCs/>
          <w:color w:val="333333"/>
          <w:sz w:val="20"/>
          <w:szCs w:val="20"/>
        </w:rPr>
        <w:t xml:space="preserve">Dr. Bonaventure Dusabe</w:t>
      </w:r>
    </w:p>
    <w:p>
      <w:pPr>
        <w:spacing w:after="140"/>
      </w:pPr>
      <w:r>
        <w:rPr>
          <w:rFonts w:ascii="Calibri" w:cs="Calibri" w:eastAsia="Calibri" w:hAnsi="Calibri"/>
          <w:color w:val="5A5A5A"/>
          <w:sz w:val="19"/>
          <w:szCs w:val="19"/>
        </w:rPr>
        <w:t xml:space="preserve">Director</w:t>
      </w:r>
    </w:p>
    <w:p>
      <w:pPr>
        <w:spacing w:after="40"/>
      </w:pPr>
      <w:r>
        <w:rPr>
          <w:rFonts w:ascii="Calibri" w:cs="Calibri" w:eastAsia="Calibri" w:hAnsi="Calibri"/>
          <w:color w:val="5A5A5A"/>
          <w:sz w:val="18"/>
          <w:szCs w:val="18"/>
        </w:rPr>
        <w:t xml:space="preserve">Witness: _________________________________</w:t>
      </w:r>
    </w:p>
    <w:p>
      <w:pPr>
        <w:spacing w:after="200" w:before="260"/>
      </w:pPr>
      <w:r>
        <w:rPr>
          <w:rFonts w:ascii="Calibri" w:cs="Calibri" w:eastAsia="Calibri" w:hAnsi="Calibri"/>
          <w:b/>
          <w:bCs/>
          <w:color w:val="1F3A5F"/>
          <w:sz w:val="20"/>
          <w:szCs w:val="20"/>
        </w:rPr>
        <w:t xml:space="preserve">For Gigawatt Burundi S.A., for the PURE Power Burundi program:</w:t>
      </w:r>
    </w:p>
    <w:p>
      <w:pPr>
        <w:spacing w:after="60"/>
      </w:pPr>
      <w:r>
        <w:rPr>
          <w:rFonts w:ascii="Calibri" w:cs="Calibri" w:eastAsia="Calibri" w:hAnsi="Calibri"/>
          <w:color w:val="5A5A5A"/>
          <w:sz w:val="19"/>
          <w:szCs w:val="19"/>
        </w:rPr>
        <w:t xml:space="preserve">_________________________________</w:t>
      </w:r>
    </w:p>
    <w:p>
      <w:pPr>
        <w:spacing w:after="20"/>
      </w:pPr>
      <w:r>
        <w:rPr>
          <w:rFonts w:ascii="Calibri" w:cs="Calibri" w:eastAsia="Calibri" w:hAnsi="Calibri"/>
          <w:b/>
          <w:bCs/>
          <w:color w:val="333333"/>
          <w:sz w:val="20"/>
          <w:szCs w:val="20"/>
        </w:rPr>
        <w:t xml:space="preserve">Michael Fichtenberg</w:t>
      </w:r>
    </w:p>
    <w:p>
      <w:pPr>
        <w:spacing w:after="140"/>
      </w:pPr>
      <w:r>
        <w:rPr>
          <w:rFonts w:ascii="Calibri" w:cs="Calibri" w:eastAsia="Calibri" w:hAnsi="Calibri"/>
          <w:color w:val="5A5A5A"/>
          <w:sz w:val="19"/>
          <w:szCs w:val="19"/>
        </w:rPr>
        <w:t xml:space="preserve">Managing Director</w:t>
      </w:r>
    </w:p>
    <w:p>
      <w:pPr>
        <w:spacing w:after="40"/>
      </w:pPr>
      <w:r>
        <w:rPr>
          <w:rFonts w:ascii="Calibri" w:cs="Calibri" w:eastAsia="Calibri" w:hAnsi="Calibri"/>
          <w:color w:val="5A5A5A"/>
          <w:sz w:val="18"/>
          <w:szCs w:val="18"/>
        </w:rPr>
        <w:t xml:space="preserve">Witness: _________________________________</w:t>
      </w:r>
    </w:p>
    <w:p>
      <w:pPr>
        <w:spacing w:before="120"/>
      </w:pPr>
      <w:r>
        <w:rPr>
          <w:rFonts w:ascii="Calibri" w:cs="Calibri" w:eastAsia="Calibri" w:hAnsi="Calibri"/>
          <w:color w:val="5A5A5A"/>
          <w:sz w:val="19"/>
          <w:szCs w:val="19"/>
        </w:rPr>
        <w:t xml:space="preserve">Done at ____________________, on ____________________ 2026, in two originals.</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CEFORE-RUSI · PURE Power Burundi</w:t>
    </w:r>
    <w:r>
      <w:rPr>
        <w:rFonts w:ascii="Calibri" w:cs="Calibri" w:eastAsia="Calibri" w:hAnsi="Calibri"/>
        <w:color w:val="5A5A5A"/>
        <w:sz w:val="16"/>
        <w:szCs w:val="16"/>
      </w:rPr>
      <w:t xml:space="preserve">  ·  Memorandum of Understanding</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2026-08-07T04:15:39.652Z</dcterms:created>
  <dcterms:modified xsi:type="dcterms:W3CDTF">2026-08-07T04:15:39.670Z</dcterms:modified>
</cp:coreProperties>
</file>

<file path=docProps/custom.xml><?xml version="1.0" encoding="utf-8"?>
<Properties xmlns="http://schemas.openxmlformats.org/officeDocument/2006/custom-properties" xmlns:vt="http://schemas.openxmlformats.org/officeDocument/2006/docPropsVTypes"/>
</file>