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A5F"/>
          <w:sz w:val="30"/>
          <w:szCs w:val="30"/>
        </w:rPr>
        <w:t xml:space="preserve">MEMORANDUM OF UNDERSTANDING</w:t>
      </w:r>
    </w:p>
    <w:p>
      <w:pPr>
        <w:spacing w:after="60"/>
        <w:jc w:val="center"/>
      </w:pPr>
      <w:r>
        <w:rPr>
          <w:rFonts w:ascii="Calibri" w:cs="Calibri" w:eastAsia="Calibri" w:hAnsi="Calibri"/>
          <w:color w:val="5A5A5A"/>
          <w:sz w:val="19"/>
          <w:szCs w:val="19"/>
        </w:rPr>
        <w:t xml:space="preserve">between</w:t>
      </w:r>
    </w:p>
    <w:p>
      <w:pPr>
        <w:spacing w:after="20"/>
        <w:jc w:val="center"/>
      </w:pPr>
      <w:r>
        <w:rPr>
          <w:rFonts w:ascii="Calibri" w:cs="Calibri" w:eastAsia="Calibri" w:hAnsi="Calibri"/>
          <w:b/>
          <w:bCs/>
          <w:color w:val="333333"/>
          <w:sz w:val="21"/>
          <w:szCs w:val="21"/>
        </w:rPr>
        <w:t xml:space="preserve">CENTRE DE FORMATION POLYTECHNIQUE ET DE RECONVERSION PROFESSIONNELLE DE RUSI (CEFORE-RUSI)</w:t>
      </w:r>
    </w:p>
    <w:p>
      <w:pPr>
        <w:spacing w:after="80"/>
        <w:jc w:val="center"/>
      </w:pPr>
      <w:r>
        <w:rPr>
          <w:rFonts w:ascii="Calibri" w:cs="Calibri" w:eastAsia="Calibri" w:hAnsi="Calibri"/>
          <w:color w:val="5A5A5A"/>
          <w:sz w:val="19"/>
          <w:szCs w:val="19"/>
        </w:rPr>
        <w:t xml:space="preserve">a public polytechnic and vocational training center of the Republic of Burundi, Rusi, Karuzi Province (“the Center”)</w:t>
      </w:r>
    </w:p>
    <w:p>
      <w:pPr>
        <w:spacing w:after="60"/>
        <w:jc w:val="center"/>
      </w:pPr>
      <w:r>
        <w:rPr>
          <w:rFonts w:ascii="Calibri" w:cs="Calibri" w:eastAsia="Calibri" w:hAnsi="Calibri"/>
          <w:color w:val="5A5A5A"/>
          <w:sz w:val="19"/>
          <w:szCs w:val="19"/>
        </w:rPr>
        <w:t xml:space="preserve">and</w:t>
      </w:r>
    </w:p>
    <w:p>
      <w:pPr>
        <w:spacing w:after="20"/>
        <w:jc w:val="center"/>
      </w:pPr>
      <w:r>
        <w:rPr>
          <w:rFonts w:ascii="Calibri" w:cs="Calibri" w:eastAsia="Calibri" w:hAnsi="Calibri"/>
          <w:b/>
          <w:bCs/>
          <w:color w:val="333333"/>
          <w:sz w:val="21"/>
          <w:szCs w:val="21"/>
        </w:rPr>
        <w:t xml:space="preserve">GIGAWATT BURUNDI S.A.</w:t>
      </w:r>
    </w:p>
    <w:p>
      <w:pPr>
        <w:spacing w:after="200"/>
        <w:jc w:val="center"/>
      </w:pPr>
      <w:r>
        <w:rPr>
          <w:rFonts w:ascii="Calibri" w:cs="Calibri" w:eastAsia="Calibri" w:hAnsi="Calibri"/>
          <w:color w:val="5A5A5A"/>
          <w:sz w:val="19"/>
          <w:szCs w:val="19"/>
        </w:rPr>
        <w:t xml:space="preserve">a company incorporated under the laws of Burundi, acting as promoter and for the account of the PURE Power Africa continental program (“PURE Power Africa”, and together with the Center, “the Parties”)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1. Purpose</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1. Objet</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This Memorandum of Understanding establishes a framework of collaboration between the Center and PURE Power Africa to anchor, on and with the Center’s campus at Rusi, Karuzi: (a) the operational seat of the PURE Power Africa continental headquarters; (b) the Program’s first demonstration agro-energy hub in Burundi; and (c) the continental training and train-the-trainers academy of the Program.</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présent Protocole d’Accord établit un cadre de collaboration entre le Centre et PURE Power Africa afin d’ancrer, sur et avec le campus du Centre à Rusi, Karuzi : (a) le siège opérationnel du quartier général continental de PURE Power Africa ; (b) le premier pôle agro-énergétique de démonstration du Programme au Burundi ; et (c) l’académie continentale de formation et de formation des formateurs du Programme.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2. Background and vision</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2. Contexte et vision</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Center is a presidential-project polytechnic campus of the Republic of Burundi at Rusi, Karuzi, inaugurated on September 15, 2022, training in agropastoral production, electromechanics, electricity, green energy and entrepreneurship, and principal beneficiary of the PEAPJF project supported by the African Development Bank. PURE Power Africa is a continental agro-energy hub program deployed through the member organizations of the African Agribusiness Incubators Network (AAIN), with which a framework Memorandum of Understanding was signed at AAICE 2026 in Bujumbura on August 6, 2026, and through pan-African pillar institutions. The Parties share the vision of Burundi as the origin market and demonstration point of a model with a pan-African vocation, launched in the year of Burundi’s Chairmanship of the African Union.</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Centre est un campus polytechnique de la République du Burundi à statut de projet présidentiel, sis à Rusi, Karuzi, inauguré le 15 septembre 2022, formant à la production agropastorale, à l’électromécanique, à l’électricité, aux énergies vertes et à l’entrepreneuriat, et bénéficiaire principal du projet PEAPJF appuyé par la Banque africaine de développement. PURE Power Africa est un programme continental de pôles agro-énergétiques déployé à travers les organisations membres du Réseau Africain des Incubateurs d’Agrobusiness (AAIN), avec lequel un Protocole-Cadre a été signé à l’AAICE 2026 à Bujumbura le 6 août 2026, ainsi qu’à travers les institutions-piliers panafricaines. Les Parties partagent la vision d’un Burundi marché d’origine et point de démonstration d’un modèle à vocation panafricaine, lancé l’année de la présidence burundaise de l’Union africaine.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3. Areas of collaboration</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3. Domaines de collaboration</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Parties intend to collaborate on: (a) the demonstration hub – solar generation and storage powering irrigation, milling, cold chain and agri-processing as a live classroom and demonstration farm; (b) the training academy – co-developed curricula and train-the-trainers programs, open to cooperation with the TDB Academy, the AAIN mentor network and university partners; (c) equipment staging, assembly and quality control for the national and continental roll-out; (d) an e-mobility depot – charging and maintenance for electric two- and three-wheelers; (e) incubation and cooperative strengthening, in connection with the Center’s PEAPJF objectives; and (f) such further productive uses of renewable energy as the Parties agree.</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Les Parties entendent collaborer sur : (a) le pôle de démonstration – production et stockage solaires alimentant l’irrigation, la mouture, la chaîne du froid et la transformation agroalimentaire, en salle de classe vivante et ferme de démonstration ; (b) l’académie de formation – curricula co-développés et formation des formateurs, ouverte à la coopération avec la TDB Academy, le réseau de mentors de l’AAIN et les partenaires universitaires ; (c) la préparation, l’assemblage et le contrôle qualité des équipements pour le déploiement national et continental ; (d) un dépôt de mobilité électrique – recharge et maintenance des deux et trois roues électriques ; (e) l’incubation et le renforcement des coopératives, en lien avec les objectifs PEAPJF du Centre ; et (f) tout autre usage productif de l’énergie renouvelable convenu entre les Parties.</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4. Contributions</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4. Contributions</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The Center intends to make available agreed areas of its campus and facilities – the precise sites and modalities remaining indicative until set out in implementation protocols – and to involve its trainers, staff and trainees in the joint activities. PURE Power Africa intends to provide the equipment and installations, mobilize the buildout capital, and contribute program management, technical expertise, long-term aftercare, and the KPI and data platform of the Program.</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Centre entend mettre à disposition des espaces convenus de son campus et de ses installations – les emprises et modalités précises demeurant indicatives jusqu’à leur définition dans des protocoles de mise en œuvre – et associer ses formateurs, son personnel et ses apprenants aux activités conjointes. PURE Power Africa entend fournir les équipements et installations, mobiliser les financements de construction, et apporter la gestion de programme, l’expertise technique, le service après-vente de long terme ainsi que la plateforme d’indicateurs et de données du Programme.</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5. Governance</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5. Gouvernance</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A joint coordination committee of the Parties agrees the campus site plan, adopts implementation protocols per area of collaboration, and reviews progress at least twice a year. The Parties may welcome AAIN and other institutional partners to specific activities, and may conclude tripartite protocols where useful.</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Un comité conjoint de coordination des Parties arrête le plan d’implantation sur le campus, adopte des protocoles de mise en œuvre par domaine de collaboration et passe en revue l’avancement au moins deux fois par an. Les Parties peuvent associer l’AAIN et d’autres partenaires institutionnels à des activités déterminées et conclure, en tant que de besoin, des protocoles tripartites.</w:t>
            </w:r>
          </w:p>
        </w:tc>
      </w:tr>
      <w:tr>
        <w:tc>
          <w:tcPr>
            <w:tcW w:type="dxa" w:w="4819"/>
            <w:tcBorders>
              <w:top w:val="single" w:color="C5CFDB" w:sz="4"/>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b/>
                <w:bCs/>
                <w:color w:val="1F3A5F"/>
                <w:sz w:val="20"/>
                <w:szCs w:val="20"/>
              </w:rPr>
              <w:t xml:space="preserve">6. Nature, duration and costs</w:t>
            </w:r>
          </w:p>
        </w:tc>
        <w:tc>
          <w:tcPr>
            <w:tcW w:type="dxa" w:w="4819"/>
            <w:tcBorders>
              <w:top w:val="single" w:color="C5CFDB" w:sz="4"/>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b/>
                <w:bCs/>
                <w:color w:val="1F3A5F"/>
                <w:sz w:val="20"/>
                <w:szCs w:val="20"/>
              </w:rPr>
              <w:t xml:space="preserve">6. Nature, durée et frais</w:t>
            </w:r>
          </w:p>
        </w:tc>
      </w:tr>
      <w:tr>
        <w:tc>
          <w:tcPr>
            <w:tcW w:type="dxa" w:w="4819"/>
            <w:tcBorders>
              <w:top w:val="none" w:color="FFFFFF" w:sz="0"/>
              <w:left w:val="none" w:color="FFFFFF" w:sz="0"/>
              <w:bottom w:val="none" w:color="FFFFFF" w:sz="0"/>
              <w:right w:val="none" w:color="FFFFFF" w:sz="0"/>
            </w:tcBorders>
            <w:tcMar>
              <w:top w:type="dxa" w:w="60"/>
              <w:left w:type="dxa" w:w="0"/>
              <w:bottom w:type="dxa" w:w="60"/>
              <w:right w:type="dxa" w:w="170"/>
            </w:tcMar>
          </w:tcPr>
          <w:p>
            <w:pPr>
              <w:spacing w:after="70" w:line="216"/>
            </w:pPr>
            <w:r>
              <w:rPr>
                <w:rFonts w:ascii="Calibri" w:cs="Calibri" w:eastAsia="Calibri" w:hAnsi="Calibri"/>
                <w:color w:val="333333"/>
                <w:sz w:val="19"/>
                <w:szCs w:val="19"/>
              </w:rPr>
              <w:t xml:space="preserve">This Memorandum expresses the Parties’ common intention and does not create binding financial obligations; it entails no cost for the Center or for the State. It takes effect on signature for an initial period of five (5) years, renewable by mutual agreement, and may be ended by either Party with three (3) months’ written notice. The English text prevails in case of divergence.</w:t>
            </w:r>
          </w:p>
        </w:tc>
        <w:tc>
          <w:tcPr>
            <w:tcW w:type="dxa" w:w="4819"/>
            <w:tcBorders>
              <w:top w:val="none" w:color="FFFFFF" w:sz="0"/>
              <w:left w:val="none" w:color="FFFFFF" w:sz="0"/>
              <w:bottom w:val="none" w:color="FFFFFF" w:sz="0"/>
              <w:right w:val="none" w:color="FFFFFF" w:sz="0"/>
            </w:tcBorders>
            <w:tcMar>
              <w:top w:type="dxa" w:w="60"/>
              <w:left w:type="dxa" w:w="170"/>
              <w:bottom w:type="dxa" w:w="60"/>
              <w:right w:type="dxa" w:w="0"/>
            </w:tcMar>
          </w:tcPr>
          <w:p>
            <w:pPr>
              <w:spacing w:after="70" w:line="216"/>
            </w:pPr>
            <w:r>
              <w:rPr>
                <w:rFonts w:ascii="Calibri" w:cs="Calibri" w:eastAsia="Calibri" w:hAnsi="Calibri"/>
                <w:color w:val="333333"/>
                <w:sz w:val="19"/>
                <w:szCs w:val="19"/>
              </w:rPr>
              <w:t xml:space="preserve">Le présent Protocole exprime l’intention commune des Parties et ne crée pas d’obligations financières contraignantes ; il n’emporte aucun frais pour le Centre ni pour l’État. Il prend effet à la signature pour une durée initiale de cinq (5) ans, renouvelable d’un commun accord, et peut y être mis fin par chaque Partie moyennant un préavis écrit de trois (3) mois. Le texte anglais prévaut en cas de divergence.</w:t>
            </w:r>
          </w:p>
        </w:tc>
      </w:tr>
    </w:tbl>
    <w:p>
      <w:pPr>
        <w:spacing w:after="200" w:before="260"/>
      </w:pPr>
      <w:r>
        <w:rPr>
          <w:rFonts w:ascii="Calibri" w:cs="Calibri" w:eastAsia="Calibri" w:hAnsi="Calibri"/>
          <w:b/>
          <w:bCs/>
          <w:color w:val="1F3A5F"/>
          <w:sz w:val="20"/>
          <w:szCs w:val="20"/>
        </w:rPr>
        <w:t xml:space="preserve">For the Centre de Formation Polytechnique et de Reconversion Professionnelle de Rusi (CEFORE-RUSI):</w:t>
      </w:r>
    </w:p>
    <w:p>
      <w:pPr>
        <w:spacing w:after="60"/>
      </w:pPr>
      <w:r>
        <w:rPr>
          <w:rFonts w:ascii="Calibri" w:cs="Calibri" w:eastAsia="Calibri" w:hAnsi="Calibri"/>
          <w:color w:val="5A5A5A"/>
          <w:sz w:val="19"/>
          <w:szCs w:val="19"/>
        </w:rPr>
        <w:t xml:space="preserve">_________________________________</w:t>
      </w:r>
    </w:p>
    <w:p>
      <w:pPr>
        <w:spacing w:after="20"/>
      </w:pPr>
      <w:r>
        <w:rPr>
          <w:rFonts w:ascii="Calibri" w:cs="Calibri" w:eastAsia="Calibri" w:hAnsi="Calibri"/>
          <w:b/>
          <w:bCs/>
          <w:color w:val="333333"/>
          <w:sz w:val="20"/>
          <w:szCs w:val="20"/>
        </w:rPr>
        <w:t xml:space="preserve">Dr. Bonaventure Dusabe</w:t>
      </w:r>
    </w:p>
    <w:p>
      <w:pPr>
        <w:spacing w:after="140"/>
      </w:pPr>
      <w:r>
        <w:rPr>
          <w:rFonts w:ascii="Calibri" w:cs="Calibri" w:eastAsia="Calibri" w:hAnsi="Calibri"/>
          <w:color w:val="5A5A5A"/>
          <w:sz w:val="19"/>
          <w:szCs w:val="19"/>
        </w:rPr>
        <w:t xml:space="preserve">Director</w:t>
      </w:r>
    </w:p>
    <w:p>
      <w:pPr>
        <w:spacing w:after="40"/>
      </w:pPr>
      <w:r>
        <w:rPr>
          <w:rFonts w:ascii="Calibri" w:cs="Calibri" w:eastAsia="Calibri" w:hAnsi="Calibri"/>
          <w:color w:val="5A5A5A"/>
          <w:sz w:val="18"/>
          <w:szCs w:val="18"/>
        </w:rPr>
        <w:t xml:space="preserve">Witness: _________________________________</w:t>
      </w:r>
    </w:p>
    <w:p>
      <w:pPr>
        <w:spacing w:after="200" w:before="260"/>
      </w:pPr>
      <w:r>
        <w:rPr>
          <w:rFonts w:ascii="Calibri" w:cs="Calibri" w:eastAsia="Calibri" w:hAnsi="Calibri"/>
          <w:b/>
          <w:bCs/>
          <w:color w:val="1F3A5F"/>
          <w:sz w:val="20"/>
          <w:szCs w:val="20"/>
        </w:rPr>
        <w:t xml:space="preserve">For Gigawatt Burundi S.A., for the PURE Power Africa program:</w:t>
      </w:r>
    </w:p>
    <w:p>
      <w:pPr>
        <w:spacing w:after="60"/>
      </w:pPr>
      <w:r>
        <w:rPr>
          <w:rFonts w:ascii="Calibri" w:cs="Calibri" w:eastAsia="Calibri" w:hAnsi="Calibri"/>
          <w:color w:val="5A5A5A"/>
          <w:sz w:val="19"/>
          <w:szCs w:val="19"/>
        </w:rPr>
        <w:t xml:space="preserve">_________________________________</w:t>
      </w:r>
    </w:p>
    <w:p>
      <w:pPr>
        <w:spacing w:after="20"/>
      </w:pPr>
      <w:r>
        <w:rPr>
          <w:rFonts w:ascii="Calibri" w:cs="Calibri" w:eastAsia="Calibri" w:hAnsi="Calibri"/>
          <w:b/>
          <w:bCs/>
          <w:color w:val="333333"/>
          <w:sz w:val="20"/>
          <w:szCs w:val="20"/>
        </w:rPr>
        <w:t xml:space="preserve">Michael Fichtenberg</w:t>
      </w:r>
    </w:p>
    <w:p>
      <w:pPr>
        <w:spacing w:after="140"/>
      </w:pPr>
      <w:r>
        <w:rPr>
          <w:rFonts w:ascii="Calibri" w:cs="Calibri" w:eastAsia="Calibri" w:hAnsi="Calibri"/>
          <w:color w:val="5A5A5A"/>
          <w:sz w:val="19"/>
          <w:szCs w:val="19"/>
        </w:rPr>
        <w:t xml:space="preserve">Managing Director</w:t>
      </w:r>
    </w:p>
    <w:p>
      <w:pPr>
        <w:spacing w:after="40"/>
      </w:pPr>
      <w:r>
        <w:rPr>
          <w:rFonts w:ascii="Calibri" w:cs="Calibri" w:eastAsia="Calibri" w:hAnsi="Calibri"/>
          <w:color w:val="5A5A5A"/>
          <w:sz w:val="18"/>
          <w:szCs w:val="18"/>
        </w:rPr>
        <w:t xml:space="preserve">Witness: _________________________________</w:t>
      </w:r>
    </w:p>
    <w:p>
      <w:pPr>
        <w:spacing w:before="120"/>
      </w:pPr>
      <w:r>
        <w:rPr>
          <w:rFonts w:ascii="Calibri" w:cs="Calibri" w:eastAsia="Calibri" w:hAnsi="Calibri"/>
          <w:color w:val="5A5A5A"/>
          <w:sz w:val="19"/>
          <w:szCs w:val="19"/>
        </w:rPr>
        <w:t xml:space="preserve">Done at ____________________, on ____________________ 2026, in two originals.</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CEFORE-RUSI · PURE Power Africa</w:t>
    </w:r>
    <w:r>
      <w:rPr>
        <w:rFonts w:ascii="Calibri" w:cs="Calibri" w:eastAsia="Calibri" w:hAnsi="Calibri"/>
        <w:color w:val="5A5A5A"/>
        <w:sz w:val="16"/>
        <w:szCs w:val="16"/>
      </w:rPr>
      <w:t xml:space="preserve">  ·  Memorandum of Understanding</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2026-08-07T03:55:54.174Z</dcterms:created>
  <dcterms:modified xsi:type="dcterms:W3CDTF">2026-08-07T03:55:54.192Z</dcterms:modified>
</cp:coreProperties>
</file>

<file path=docProps/custom.xml><?xml version="1.0" encoding="utf-8"?>
<Properties xmlns="http://schemas.openxmlformats.org/officeDocument/2006/custom-properties" xmlns:vt="http://schemas.openxmlformats.org/officeDocument/2006/docPropsVTypes"/>
</file>