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c9fab2fb737543b2392c5422884d2aebb5149cd"/>
    <w:p>
      <w:pPr>
        <w:pStyle w:val="Heading1"/>
      </w:pPr>
      <w:r>
        <w:t xml:space="preserve">PURE Power Africa – Corporate Framework Options</w:t>
      </w:r>
    </w:p>
    <w:p>
      <w:pPr>
        <w:pStyle w:val="FirstParagraph"/>
      </w:pPr>
      <w:r>
        <w:rPr>
          <w:iCs/>
          <w:i/>
        </w:rPr>
        <w:t xml:space="preserve">Internal memo | 7 August 2026 | For discussion – not legal advice; final structure to be settled with counsel and tax advisors</w:t>
      </w:r>
    </w:p>
    <w:bookmarkStart w:id="20" w:name="objectives-the-structure-must-serve"/>
    <w:p>
      <w:pPr>
        <w:pStyle w:val="Heading2"/>
      </w:pPr>
      <w:r>
        <w:t xml:space="preserve">Objectives the structure must serve</w:t>
      </w:r>
    </w:p>
    <w:p>
      <w:pPr>
        <w:pStyle w:val="FirstParagraph"/>
      </w:pPr>
      <w:r>
        <w:t xml:space="preserve">Founder control – the founding team guides and owns the platform durably; fundability – DFIs, foundations and commercial investors must recognize the vehicle instantly; treaty and tax efficiency across many African jurisdictions; political legitimacy in Burundi, where the HQ, the presidential-designation pathway and the AU-chairmanship narrative live; speed and low friction for adding country subsidiaries wave by wave; and clean separation between the program (grant-heavy, mission-led) and any future fund (return-seeking).</w:t>
      </w:r>
    </w:p>
    <w:bookmarkEnd w:id="20"/>
    <w:bookmarkStart w:id="21" w:name="the-three-realistic-anchors"/>
    <w:p>
      <w:pPr>
        <w:pStyle w:val="Heading2"/>
      </w:pPr>
      <w:r>
        <w:t xml:space="preserve">The three realistic anchors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Option</w:t>
            </w:r>
          </w:p>
        </w:tc>
        <w:tc>
          <w:tcPr/>
          <w:p>
            <w:pPr>
              <w:pStyle w:val="Compact"/>
              <w:jc w:val="left"/>
            </w:pPr>
            <w:r>
              <w:t xml:space="preserve">Strengths</w:t>
            </w:r>
          </w:p>
        </w:tc>
        <w:tc>
          <w:tcPr/>
          <w:p>
            <w:pPr>
              <w:pStyle w:val="Compact"/>
              <w:jc w:val="left"/>
            </w:pPr>
            <w:r>
              <w:t xml:space="preserve">Weaknesses</w:t>
            </w:r>
          </w:p>
        </w:tc>
        <w:tc>
          <w:tcPr/>
          <w:p>
            <w:pPr>
              <w:pStyle w:val="Compact"/>
              <w:jc w:val="left"/>
            </w:pPr>
            <w:r>
              <w:t xml:space="preserve">Verdict</w:t>
            </w:r>
          </w:p>
        </w:tc>
      </w:tr>
      <w:tr>
        <w:tc>
          <w:tcPr/>
          <w:p>
            <w:pPr>
              <w:pStyle w:val="Compact"/>
              <w:jc w:val="left"/>
            </w:pPr>
            <w:r>
              <w:rPr>
                <w:bCs/>
                <w:b/>
              </w:rPr>
              <w:t xml:space="preserve">Burundi HoldCo</w:t>
            </w:r>
            <w:r>
              <w:t xml:space="preserve"> </w:t>
            </w:r>
            <w:r>
              <w:t xml:space="preserve">(top company registered in Burundi)</w:t>
            </w:r>
          </w:p>
        </w:tc>
        <w:tc>
          <w:tcPr/>
          <w:p>
            <w:pPr>
              <w:pStyle w:val="Compact"/>
              <w:jc w:val="left"/>
            </w:pPr>
            <w:r>
              <w:t xml:space="preserve">Maximum political goodwill; aligns with</w:t>
            </w:r>
            <w:r>
              <w:t xml:space="preserve"> </w:t>
            </w:r>
            <w:r>
              <w:t xml:space="preserve">“</w:t>
            </w:r>
            <w:r>
              <w:t xml:space="preserve">continental HQ in Bujumbura</w:t>
            </w:r>
            <w:r>
              <w:t xml:space="preserve">”</w:t>
            </w:r>
            <w:r>
              <w:t xml:space="preserve">; simplest for presidential designation</w:t>
            </w:r>
          </w:p>
        </w:tc>
        <w:tc>
          <w:tcPr/>
          <w:p>
            <w:pPr>
              <w:pStyle w:val="Compact"/>
              <w:jc w:val="left"/>
            </w:pPr>
            <w:r>
              <w:t xml:space="preserve">FX/convertibility and transfer risk at the top of the stack; unfamiliar to most international investors and LPs; every cross-border subsidiary hangs off a frontier-market parent</w:t>
            </w:r>
          </w:p>
        </w:tc>
        <w:tc>
          <w:tcPr/>
          <w:p>
            <w:pPr>
              <w:pStyle w:val="Compact"/>
              <w:jc w:val="left"/>
            </w:pPr>
            <w:r>
              <w:t xml:space="preserve">Not as the top company – but essential as the HQ operating company</w:t>
            </w:r>
          </w:p>
        </w:tc>
      </w:tr>
      <w:tr>
        <w:tc>
          <w:tcPr/>
          <w:p>
            <w:pPr>
              <w:pStyle w:val="Compact"/>
              <w:jc w:val="left"/>
            </w:pPr>
            <w:r>
              <w:rPr>
                <w:bCs/>
                <w:b/>
              </w:rPr>
              <w:t xml:space="preserve">Mauritius HoldCo</w:t>
            </w:r>
            <w:r>
              <w:t xml:space="preserve"> </w:t>
            </w:r>
            <w:r>
              <w:t xml:space="preserve">(GBC – Global Business Company)</w:t>
            </w:r>
          </w:p>
        </w:tc>
        <w:tc>
          <w:tcPr/>
          <w:p>
            <w:pPr>
              <w:pStyle w:val="Compact"/>
              <w:jc w:val="left"/>
            </w:pPr>
            <w:r>
              <w:t xml:space="preserve">The default African platform jurisdiction: wide African tax-treaty network, investment-protection agreements, DFI/foundation familiarity; TDB’s own principal office sits in Ebène; Weza Power’s holding is Mauritian – a precedent Burundi’s government has already accepted; substance can be built (local directors, administrator)</w:t>
            </w:r>
          </w:p>
        </w:tc>
        <w:tc>
          <w:tcPr/>
          <w:p>
            <w:pPr>
              <w:pStyle w:val="Compact"/>
              <w:jc w:val="left"/>
            </w:pPr>
            <w:r>
              <w:t xml:space="preserve">Substance requirements are real (economic substance, resident directors); EU-list scrutiny requires clean setup</w:t>
            </w:r>
          </w:p>
        </w:tc>
        <w:tc>
          <w:tcPr/>
          <w:p>
            <w:pPr>
              <w:pStyle w:val="Compact"/>
              <w:jc w:val="left"/>
            </w:pPr>
            <w:r>
              <w:rPr>
                <w:bCs/>
                <w:b/>
              </w:rPr>
              <w:t xml:space="preserve">Recommended top company</w:t>
            </w:r>
          </w:p>
        </w:tc>
      </w:tr>
      <w:tr>
        <w:tc>
          <w:tcPr/>
          <w:p>
            <w:pPr>
              <w:pStyle w:val="Compact"/>
              <w:jc w:val="left"/>
            </w:pPr>
            <w:r>
              <w:rPr>
                <w:bCs/>
                <w:b/>
              </w:rPr>
              <w:t xml:space="preserve">Cayman SPC</w:t>
            </w:r>
            <w:r>
              <w:t xml:space="preserve"> </w:t>
            </w:r>
            <w:r>
              <w:t xml:space="preserve">(Segregated Portfolio Company)</w:t>
            </w:r>
          </w:p>
        </w:tc>
        <w:tc>
          <w:tcPr/>
          <w:p>
            <w:pPr>
              <w:pStyle w:val="Compact"/>
              <w:jc w:val="left"/>
            </w:pPr>
            <w:r>
              <w:t xml:space="preserve">Deepest global fund-market familiarity; segregated portfolios ring-fence assets/liabilities per cell</w:t>
            </w:r>
          </w:p>
        </w:tc>
        <w:tc>
          <w:tcPr/>
          <w:p>
            <w:pPr>
              <w:pStyle w:val="Compact"/>
              <w:jc w:val="left"/>
            </w:pPr>
            <w:r>
              <w:t xml:space="preserve">Optics with African governments and some DFIs are weaker; no African tax treaties; SPC is a</w:t>
            </w:r>
            <w:r>
              <w:t xml:space="preserve"> </w:t>
            </w:r>
            <w:r>
              <w:rPr>
                <w:iCs/>
                <w:i/>
              </w:rPr>
              <w:t xml:space="preserve">fund</w:t>
            </w:r>
            <w:r>
              <w:t xml:space="preserve"> </w:t>
            </w:r>
            <w:r>
              <w:t xml:space="preserve">technology, not a holding-company technology</w:t>
            </w:r>
          </w:p>
        </w:tc>
        <w:tc>
          <w:tcPr/>
          <w:p>
            <w:pPr>
              <w:pStyle w:val="Compact"/>
              <w:jc w:val="left"/>
            </w:pPr>
            <w:r>
              <w:t xml:space="preserve">Reserve for the fund vehicle only, and only if the LP base demands it – Mauritius offers the same cell concept (PCC/VCC) closer to home</w:t>
            </w:r>
          </w:p>
        </w:tc>
      </w:tr>
    </w:tbl>
    <w:bookmarkEnd w:id="21"/>
    <w:bookmarkStart w:id="22" w:name="recommended-architecture"/>
    <w:p>
      <w:pPr>
        <w:pStyle w:val="Heading2"/>
      </w:pPr>
      <w:r>
        <w:t xml:space="preserve">Recommended architecture</w:t>
      </w:r>
    </w:p>
    <w:p>
      <w:pPr>
        <w:numPr>
          <w:ilvl w:val="0"/>
          <w:numId w:val="1001"/>
        </w:numPr>
        <w:pStyle w:val="Compact"/>
      </w:pPr>
      <w:r>
        <w:rPr>
          <w:bCs/>
          <w:b/>
        </w:rPr>
        <w:t xml:space="preserve">PURE Power Africa Holdings Ltd (Mauritius GBC)</w:t>
      </w:r>
      <w:r>
        <w:t xml:space="preserve"> </w:t>
      </w:r>
      <w:r>
        <w:t xml:space="preserve">– the top company. Founding team holds control through a founder share class (enhanced voting and reserved matters: strategy, brand, appointment of country leadership, entry into new countries), with investor classes beneath. An optional founders’ vehicle (trust or foundation) above can consolidate and protect the team’s block over time.</w:t>
      </w:r>
    </w:p>
    <w:p>
      <w:pPr>
        <w:numPr>
          <w:ilvl w:val="0"/>
          <w:numId w:val="1001"/>
        </w:numPr>
        <w:pStyle w:val="Compact"/>
      </w:pPr>
      <w:r>
        <w:rPr>
          <w:bCs/>
          <w:b/>
        </w:rPr>
        <w:t xml:space="preserve">PURE Power Africa Burundi S.A.</w:t>
      </w:r>
      <w:r>
        <w:t xml:space="preserve"> </w:t>
      </w:r>
      <w:r>
        <w:t xml:space="preserve">– wholly owned HQ operating company in Bujumbura: employs the continental team, contracts the CEFORE-RUSI collaboration, holds the government designation and instruments, and runs procurement, the training academy and the KPI/data platform. This is the entity the BESD, the Conseil des Ministres and the AU narrative see.</w:t>
      </w:r>
    </w:p>
    <w:p>
      <w:pPr>
        <w:numPr>
          <w:ilvl w:val="0"/>
          <w:numId w:val="1001"/>
        </w:numPr>
        <w:pStyle w:val="Compact"/>
      </w:pPr>
      <w:r>
        <w:rPr>
          <w:bCs/>
          <w:b/>
        </w:rPr>
        <w:t xml:space="preserve">Country companies / joint ventures</w:t>
      </w:r>
      <w:r>
        <w:t xml:space="preserve"> </w:t>
      </w:r>
      <w:r>
        <w:t xml:space="preserve">– one per market, owned by the Mauritius HoldCo, formed with or alongside the AAIN national lead member per the country MOU. Standardized constitutional documents (the template legal work the HQ produces) make each new country a repeatable act, not a bespoke negotiation.</w:t>
      </w:r>
    </w:p>
    <w:p>
      <w:pPr>
        <w:numPr>
          <w:ilvl w:val="0"/>
          <w:numId w:val="1001"/>
        </w:numPr>
        <w:pStyle w:val="Compact"/>
      </w:pPr>
      <w:r>
        <w:rPr>
          <w:bCs/>
          <w:b/>
        </w:rPr>
        <w:t xml:space="preserve">Program–fund separation</w:t>
      </w:r>
      <w:r>
        <w:t xml:space="preserve"> </w:t>
      </w:r>
      <w:r>
        <w:t xml:space="preserve">– the grant-funded program activities sit in the HQ and country companies; the return-seeking fund (separate memo) sits in its own vehicle with its own governance, managed by an affiliated manager, so that donor money and investor money never blur.</w:t>
      </w:r>
    </w:p>
    <w:bookmarkEnd w:id="22"/>
    <w:bookmarkStart w:id="23" w:name="points-to-settle-with-counsel"/>
    <w:p>
      <w:pPr>
        <w:pStyle w:val="Heading2"/>
      </w:pPr>
      <w:r>
        <w:t xml:space="preserve">Points to settle with counsel</w:t>
      </w:r>
    </w:p>
    <w:p>
      <w:pPr>
        <w:pStyle w:val="FirstParagraph"/>
      </w:pPr>
      <w:r>
        <w:t xml:space="preserve">Mauritius substance plan and administrator selection; whether a founders’ trust/foundation sits above the GBC from day one or is added later; Burundi investment-code registration and API certificate for the HQ company; the intercompany model (management and services agreements HQ-to-country); and per-country local-ownership rules that may shape the JV percentages with AAIN members.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2026-08-07T02:46:39Z</dcterms:created>
  <dcterms:modified xsi:type="dcterms:W3CDTF">2026-08-07T02:46:39Z</dcterms:modified>
</cp:coreProperties>
</file>

<file path=docProps/custom.xml><?xml version="1.0" encoding="utf-8"?>
<Properties xmlns="http://schemas.openxmlformats.org/officeDocument/2006/custom-properties" xmlns:vt="http://schemas.openxmlformats.org/officeDocument/2006/docPropsVTypes"/>
</file>