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ure-power-africa-growth-fund-concept"/>
    <w:p>
      <w:pPr>
        <w:pStyle w:val="Heading1"/>
      </w:pPr>
      <w:r>
        <w:t xml:space="preserve">PURE Power Africa Growth Fund – Concept</w:t>
      </w:r>
    </w:p>
    <w:p>
      <w:pPr>
        <w:pStyle w:val="FirstParagraph"/>
      </w:pPr>
      <w:r>
        <w:rPr>
          <w:iCs/>
          <w:i/>
        </w:rPr>
        <w:t xml:space="preserve">Internal memo | 7 August 2026 | For discussion</w:t>
      </w:r>
    </w:p>
    <w:bookmarkStart w:id="20" w:name="the-thesis"/>
    <w:p>
      <w:pPr>
        <w:pStyle w:val="Heading2"/>
      </w:pPr>
      <w:r>
        <w:t xml:space="preserve">The thesis</w:t>
      </w:r>
    </w:p>
    <w:p>
      <w:pPr>
        <w:pStyle w:val="FirstParagraph"/>
      </w:pPr>
      <w:r>
        <w:t xml:space="preserve">The hubs create something no outside investor has: eyes and ears at the last mile. Every hub sees, daily, which SMEs are growing, which cooperatives pay on time, which value chains are short of working capital and which operators deserve expansion money – with unified KPIs and data flowing to the HQ. A private equity/growth fund alongside the program converts that proprietary visibility into a pipeline, invests where the program has already de-risked demand, and hands the program a for-profit engine that keeps hub economies compounding after the grants end. The program and the fund stay legally and financially separate; the fund simply gets first look at what the network surfaces.</w:t>
      </w:r>
    </w:p>
    <w:bookmarkEnd w:id="20"/>
    <w:bookmarkStart w:id="21" w:name="the-gas-station-principle"/>
    <w:p>
      <w:pPr>
        <w:pStyle w:val="Heading2"/>
      </w:pPr>
      <w:r>
        <w:t xml:space="preserve">The gas-station principle</w:t>
      </w:r>
    </w:p>
    <w:p>
      <w:pPr>
        <w:pStyle w:val="FirstParagraph"/>
      </w:pPr>
      <w:r>
        <w:t xml:space="preserve">A fuel station earns thin margins on fuel and fat margins on everything around it – the shop, the food, the services. The hub is the same: power is the anchor, and the durable money is in what grows around the anchor. The fund’s job is to own and finance the</w:t>
      </w:r>
      <w:r>
        <w:t xml:space="preserve"> </w:t>
      </w:r>
      <w:r>
        <w:t xml:space="preserve">“</w:t>
      </w:r>
      <w:r>
        <w:t xml:space="preserve">around.</w:t>
      </w:r>
      <w:r>
        <w:t xml:space="preserve">”</w:t>
      </w:r>
    </w:p>
    <w:bookmarkEnd w:id="21"/>
    <w:bookmarkStart w:id="22" w:name="investment-sleeves"/>
    <w:p>
      <w:pPr>
        <w:pStyle w:val="Heading2"/>
      </w:pPr>
      <w:r>
        <w:t xml:space="preserve">Investment sleeves</w:t>
      </w:r>
    </w:p>
    <w:p>
      <w:pPr>
        <w:numPr>
          <w:ilvl w:val="0"/>
          <w:numId w:val="1001"/>
        </w:numPr>
        <w:pStyle w:val="Compact"/>
      </w:pPr>
      <w:r>
        <w:rPr>
          <w:bCs/>
          <w:b/>
        </w:rPr>
        <w:t xml:space="preserve">Agri-SME growth capital</w:t>
      </w:r>
      <w:r>
        <w:t xml:space="preserve"> </w:t>
      </w:r>
      <w:r>
        <w:t xml:space="preserve">– equity and mezzanine into processors, aggregators, cold-chain operators and input businesses incubated or served at the hubs, co-lending with the banks that already know them (national banks and pan-African networks, with TDF-style on-lending frames where available). Local banks bring the debt and the accounts; the fund brings growth equity; the hub brings the truth about the borrower.</w:t>
      </w:r>
    </w:p>
    <w:p>
      <w:pPr>
        <w:numPr>
          <w:ilvl w:val="0"/>
          <w:numId w:val="1001"/>
        </w:numPr>
        <w:pStyle w:val="Compact"/>
      </w:pPr>
      <w:r>
        <w:rPr>
          <w:bCs/>
          <w:b/>
        </w:rPr>
        <w:t xml:space="preserve">E-mobility fleets</w:t>
      </w:r>
      <w:r>
        <w:t xml:space="preserve"> </w:t>
      </w:r>
      <w:r>
        <w:t xml:space="preserve">– asset-backed vehicles (e-motorcycles, e-three-wheelers) charged at hub stations and operated through cooperatives; fleets expand exactly the way fuel-station networks once did, route by route, with the hub as depot, charger and maintenance bay. Revenue is contracted transport of produce – the last-mile artery the program already runs.</w:t>
      </w:r>
    </w:p>
    <w:p>
      <w:pPr>
        <w:numPr>
          <w:ilvl w:val="0"/>
          <w:numId w:val="1001"/>
        </w:numPr>
        <w:pStyle w:val="Compact"/>
      </w:pPr>
      <w:r>
        <w:rPr>
          <w:bCs/>
          <w:b/>
        </w:rPr>
        <w:t xml:space="preserve">Hub-adjacent real estate and commerce</w:t>
      </w:r>
      <w:r>
        <w:t xml:space="preserve"> </w:t>
      </w:r>
      <w:r>
        <w:t xml:space="preserve">– market stalls, cold-storage rental, kiosks, workshop bays, agro-dealer premises and staff housing on and around hub sites: the retail ring around the anchor, leased to the SMEs the first sleeve finances. Land arrangements respect the host partners’ and government’s tenure; the fund builds and operates improvements, it does not speculate on land.</w:t>
      </w:r>
    </w:p>
    <w:p>
      <w:pPr>
        <w:numPr>
          <w:ilvl w:val="0"/>
          <w:numId w:val="1001"/>
        </w:numPr>
        <w:pStyle w:val="Compact"/>
      </w:pPr>
      <w:r>
        <w:rPr>
          <w:bCs/>
          <w:b/>
        </w:rPr>
        <w:t xml:space="preserve">Productive-use appliance and consumer finance</w:t>
      </w:r>
      <w:r>
        <w:t xml:space="preserve"> </w:t>
      </w:r>
      <w:r>
        <w:t xml:space="preserve">– mills, pumps, cold units and solar home systems on pay-as-you-grow terms, riding the hubs’ points of sale and aftercare so collections and service are physical, not theoretical.</w:t>
      </w:r>
    </w:p>
    <w:bookmarkEnd w:id="22"/>
    <w:bookmarkStart w:id="23" w:name="structure-and-capital"/>
    <w:p>
      <w:pPr>
        <w:pStyle w:val="Heading2"/>
      </w:pPr>
      <w:r>
        <w:t xml:space="preserve">Structure and capital</w:t>
      </w:r>
    </w:p>
    <w:p>
      <w:pPr>
        <w:pStyle w:val="FirstParagraph"/>
      </w:pPr>
      <w:r>
        <w:t xml:space="preserve">A dedicated vehicle – Mauritius PCC/VCC cells (or a Cayman SPC if the LP base demands), one cell per sleeve so risk profiles stay clean – managed by an affiliated general partner formed by the founding team, with the program’s HQ providing pipeline and data under an arm’s-length services agreement. The LP stack is blended: DFI/foundation first-loss or junior capital to crowd in family offices and commercial LPs; catalytic windows can seed the appliance and e-mobility cells; the banks participate as co-lenders rather than LPs. Indicative first close in the tens of millions, sized to Wave 1 geographies, scaling with the waves.</w:t>
      </w:r>
    </w:p>
    <w:bookmarkEnd w:id="23"/>
    <w:bookmarkStart w:id="24" w:name="guardrails"/>
    <w:p>
      <w:pPr>
        <w:pStyle w:val="Heading2"/>
      </w:pPr>
      <w:r>
        <w:t xml:space="preserve">Guardrails</w:t>
      </w:r>
    </w:p>
    <w:p>
      <w:pPr>
        <w:pStyle w:val="FirstParagraph"/>
      </w:pPr>
      <w:r>
        <w:t xml:space="preserve">Strict program–fund separation (separate accounts, boards, audit); a conflicts protocol for any transaction touching program assets; no fund exposure to government instruments or grant funds; local co-investment (diaspora windows, cooperatives, staff) built in from the first cell so ownership stays anchored where the value is created.</w:t>
      </w:r>
    </w:p>
    <w:bookmarkEnd w:id="24"/>
    <w:bookmarkStart w:id="25" w:name="next-steps"/>
    <w:p>
      <w:pPr>
        <w:pStyle w:val="Heading2"/>
      </w:pPr>
      <w:r>
        <w:t xml:space="preserve">Next steps</w:t>
      </w:r>
    </w:p>
    <w:p>
      <w:pPr>
        <w:pStyle w:val="FirstParagraph"/>
      </w:pPr>
      <w:r>
        <w:t xml:space="preserve">Test the concept quietly with two or three anchor conversations (a DFI blended-finance team, a foundation catalytic window, one family office); commission the PCC/VCC comparison alongside the corporate-framework workstream; and pilot the model on paper against three real Wave 1 hub economies – one agri-SME, one fleet route, one hub-adjacent commercial ring – to show the unit economics before any formal raise.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2026-08-07T02:46:39Z</dcterms:created>
  <dcterms:modified xsi:type="dcterms:W3CDTF">2026-08-07T02:46:39Z</dcterms:modified>
</cp:coreProperties>
</file>

<file path=docProps/custom.xml><?xml version="1.0" encoding="utf-8"?>
<Properties xmlns="http://schemas.openxmlformats.org/officeDocument/2006/custom-properties" xmlns:vt="http://schemas.openxmlformats.org/officeDocument/2006/docPropsVTypes"/>
</file>